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EF583" w14:textId="77777777" w:rsidR="00CE0906" w:rsidRPr="00C51606" w:rsidRDefault="00CE0906" w:rsidP="00D26016">
      <w:pPr>
        <w:spacing w:after="0"/>
        <w:rPr>
          <w:rFonts w:ascii="Times New Roman" w:hAnsi="Times New Roman"/>
          <w:sz w:val="20"/>
          <w:szCs w:val="18"/>
        </w:rPr>
      </w:pPr>
    </w:p>
    <w:p w14:paraId="1D0D2449" w14:textId="45DAD3DF" w:rsidR="00D26016" w:rsidRPr="00CA0F21" w:rsidRDefault="00D26016" w:rsidP="00D26016">
      <w:pPr>
        <w:spacing w:after="0"/>
        <w:rPr>
          <w:rFonts w:ascii="Times New Roman" w:hAnsi="Times New Roman"/>
          <w:b/>
          <w:bCs/>
          <w:sz w:val="24"/>
        </w:rPr>
      </w:pPr>
      <w:r w:rsidRPr="00CA0F21">
        <w:rPr>
          <w:rFonts w:ascii="Times New Roman" w:hAnsi="Times New Roman"/>
          <w:b/>
          <w:bCs/>
          <w:sz w:val="24"/>
        </w:rPr>
        <w:t>DEPARTAMENTUL FARMACIE II – ȘTIINȚE DE PROFIL (DE SPECIALITATE)</w:t>
      </w:r>
    </w:p>
    <w:p w14:paraId="72735479" w14:textId="28554761" w:rsidR="002D778B" w:rsidRPr="00C51606" w:rsidRDefault="002D778B" w:rsidP="00CA0F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D4BB1">
        <w:rPr>
          <w:rFonts w:ascii="Times New Roman" w:hAnsi="Times New Roman"/>
          <w:b/>
          <w:sz w:val="24"/>
          <w:szCs w:val="24"/>
        </w:rPr>
        <w:t>DISCIPLINA</w:t>
      </w:r>
      <w:r w:rsidR="00CA0F21">
        <w:rPr>
          <w:rFonts w:ascii="Times New Roman" w:hAnsi="Times New Roman"/>
          <w:b/>
          <w:sz w:val="24"/>
          <w:szCs w:val="24"/>
        </w:rPr>
        <w:t xml:space="preserve">: </w:t>
      </w:r>
      <w:r w:rsidR="004002E3" w:rsidRPr="00ED4BB1">
        <w:rPr>
          <w:rFonts w:ascii="Times New Roman" w:hAnsi="Times New Roman"/>
          <w:b/>
          <w:sz w:val="24"/>
          <w:szCs w:val="24"/>
        </w:rPr>
        <w:t>MANAGEMENT, MARKETING FARMACEUTIC</w:t>
      </w:r>
    </w:p>
    <w:p w14:paraId="2F4C3FA0" w14:textId="2075AE73" w:rsidR="002D778B" w:rsidRPr="00F90E77" w:rsidRDefault="002D778B" w:rsidP="00F3540E">
      <w:pPr>
        <w:spacing w:after="0" w:line="240" w:lineRule="auto"/>
        <w:rPr>
          <w:rFonts w:ascii="Times New Roman" w:hAnsi="Times New Roman"/>
          <w:sz w:val="16"/>
          <w:szCs w:val="14"/>
        </w:rPr>
      </w:pPr>
    </w:p>
    <w:p w14:paraId="5DB229D2" w14:textId="77777777" w:rsidR="00F3540E" w:rsidRPr="00F90E77" w:rsidRDefault="00F3540E" w:rsidP="00F3540E">
      <w:pPr>
        <w:spacing w:after="0" w:line="240" w:lineRule="auto"/>
        <w:rPr>
          <w:rFonts w:ascii="Times New Roman" w:hAnsi="Times New Roman"/>
          <w:sz w:val="16"/>
          <w:szCs w:val="14"/>
        </w:rPr>
      </w:pPr>
    </w:p>
    <w:p w14:paraId="46BBE65A" w14:textId="0C346951" w:rsidR="00CA0F21" w:rsidRPr="00986483" w:rsidRDefault="00986483" w:rsidP="00CA0F21">
      <w:pPr>
        <w:pStyle w:val="Default"/>
        <w:jc w:val="center"/>
        <w:rPr>
          <w:b/>
          <w:bCs/>
        </w:rPr>
      </w:pPr>
      <w:r w:rsidRPr="00986483">
        <w:rPr>
          <w:b/>
          <w:bCs/>
        </w:rPr>
        <w:t>TEMATICĂ ȘI BIBLIOGRAFIE CONCURS CONFERENŢIAR UNIVERSITAR POZIȚIA 4</w:t>
      </w:r>
    </w:p>
    <w:p w14:paraId="0538CA58" w14:textId="006FD800" w:rsidR="002D778B" w:rsidRPr="00F90E77" w:rsidRDefault="002D778B" w:rsidP="00CA0F21">
      <w:pPr>
        <w:spacing w:line="240" w:lineRule="auto"/>
        <w:rPr>
          <w:rFonts w:ascii="Times New Roman" w:hAnsi="Times New Roman"/>
          <w:bCs/>
          <w:spacing w:val="20"/>
          <w:sz w:val="16"/>
          <w:szCs w:val="16"/>
          <w:lang w:val="it-IT"/>
        </w:rPr>
      </w:pPr>
    </w:p>
    <w:p w14:paraId="1171300E" w14:textId="77777777" w:rsidR="00F9706C" w:rsidRDefault="002D778B" w:rsidP="00F9706C">
      <w:pPr>
        <w:numPr>
          <w:ilvl w:val="0"/>
          <w:numId w:val="8"/>
        </w:numPr>
        <w:tabs>
          <w:tab w:val="clear" w:pos="1080"/>
          <w:tab w:val="num" w:pos="360"/>
        </w:tabs>
        <w:spacing w:after="0" w:line="360" w:lineRule="auto"/>
        <w:ind w:hanging="1080"/>
        <w:jc w:val="both"/>
        <w:rPr>
          <w:rFonts w:ascii="Times New Roman" w:hAnsi="Times New Roman"/>
          <w:sz w:val="24"/>
          <w:szCs w:val="24"/>
        </w:rPr>
      </w:pPr>
      <w:r w:rsidRPr="00ED4BB1">
        <w:rPr>
          <w:rFonts w:ascii="Times New Roman" w:hAnsi="Times New Roman"/>
          <w:sz w:val="24"/>
          <w:szCs w:val="24"/>
        </w:rPr>
        <w:t>Management – Marketing în domeniul farmaceutic. Principii specifice marketingului</w:t>
      </w:r>
    </w:p>
    <w:p w14:paraId="6EB7436B" w14:textId="3ED8779A" w:rsidR="002D778B" w:rsidRDefault="002D778B" w:rsidP="00F970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D4BB1">
        <w:rPr>
          <w:rFonts w:ascii="Times New Roman" w:hAnsi="Times New Roman"/>
          <w:sz w:val="24"/>
          <w:szCs w:val="24"/>
        </w:rPr>
        <w:t>farmaceutic. Politici de marketing aplicate în domeniul farmaceutic</w:t>
      </w:r>
    </w:p>
    <w:p w14:paraId="07A25B95" w14:textId="77777777" w:rsidR="002D778B" w:rsidRDefault="002D778B" w:rsidP="00F9706C">
      <w:pPr>
        <w:numPr>
          <w:ilvl w:val="0"/>
          <w:numId w:val="8"/>
        </w:numPr>
        <w:tabs>
          <w:tab w:val="clear" w:pos="1080"/>
          <w:tab w:val="num" w:pos="360"/>
        </w:tabs>
        <w:spacing w:after="0" w:line="360" w:lineRule="auto"/>
        <w:ind w:hanging="1080"/>
        <w:jc w:val="both"/>
        <w:rPr>
          <w:rFonts w:ascii="Times New Roman" w:hAnsi="Times New Roman"/>
          <w:sz w:val="24"/>
          <w:szCs w:val="24"/>
        </w:rPr>
      </w:pPr>
      <w:r w:rsidRPr="00ED4BB1">
        <w:rPr>
          <w:rFonts w:ascii="Times New Roman" w:hAnsi="Times New Roman"/>
          <w:sz w:val="24"/>
          <w:szCs w:val="24"/>
        </w:rPr>
        <w:t>Regimul legal al medicamentului</w:t>
      </w:r>
    </w:p>
    <w:p w14:paraId="7AA01268" w14:textId="504D22DB" w:rsidR="002D778B" w:rsidRDefault="002D778B" w:rsidP="00F9706C">
      <w:pPr>
        <w:numPr>
          <w:ilvl w:val="0"/>
          <w:numId w:val="8"/>
        </w:numPr>
        <w:tabs>
          <w:tab w:val="clear" w:pos="1080"/>
          <w:tab w:val="num" w:pos="36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D4BB1">
        <w:rPr>
          <w:rFonts w:ascii="Times New Roman" w:hAnsi="Times New Roman"/>
          <w:sz w:val="24"/>
          <w:szCs w:val="24"/>
        </w:rPr>
        <w:t xml:space="preserve">Buna practică de </w:t>
      </w:r>
      <w:proofErr w:type="spellStart"/>
      <w:r w:rsidRPr="00ED4BB1">
        <w:rPr>
          <w:rFonts w:ascii="Times New Roman" w:hAnsi="Times New Roman"/>
          <w:sz w:val="24"/>
          <w:szCs w:val="24"/>
        </w:rPr>
        <w:t>fabr</w:t>
      </w:r>
      <w:r>
        <w:rPr>
          <w:rFonts w:ascii="Times New Roman" w:hAnsi="Times New Roman"/>
          <w:sz w:val="24"/>
          <w:szCs w:val="24"/>
        </w:rPr>
        <w:t>icaţie</w:t>
      </w:r>
      <w:proofErr w:type="spellEnd"/>
      <w:r>
        <w:rPr>
          <w:rFonts w:ascii="Times New Roman" w:hAnsi="Times New Roman"/>
          <w:sz w:val="24"/>
          <w:szCs w:val="24"/>
        </w:rPr>
        <w:t xml:space="preserve"> pentru medicamente (BPF).</w:t>
      </w:r>
      <w:r w:rsidRPr="00ED4BB1">
        <w:rPr>
          <w:rFonts w:ascii="Times New Roman" w:hAnsi="Times New Roman"/>
          <w:sz w:val="24"/>
          <w:szCs w:val="24"/>
        </w:rPr>
        <w:t xml:space="preserve"> Controlul </w:t>
      </w:r>
      <w:proofErr w:type="spellStart"/>
      <w:r w:rsidRPr="00ED4BB1">
        <w:rPr>
          <w:rFonts w:ascii="Times New Roman" w:hAnsi="Times New Roman"/>
          <w:sz w:val="24"/>
          <w:szCs w:val="24"/>
        </w:rPr>
        <w:t>calităţii</w:t>
      </w:r>
      <w:proofErr w:type="spellEnd"/>
      <w:r w:rsidRPr="00ED4BB1">
        <w:rPr>
          <w:rFonts w:ascii="Times New Roman" w:hAnsi="Times New Roman"/>
          <w:sz w:val="24"/>
          <w:szCs w:val="24"/>
        </w:rPr>
        <w:t>. Managementul riscului</w:t>
      </w:r>
      <w:r w:rsidR="00F9706C">
        <w:rPr>
          <w:rFonts w:ascii="Times New Roman" w:hAnsi="Times New Roman"/>
          <w:sz w:val="24"/>
          <w:szCs w:val="24"/>
        </w:rPr>
        <w:t xml:space="preserve"> </w:t>
      </w:r>
      <w:r w:rsidRPr="00ED4BB1">
        <w:rPr>
          <w:rFonts w:ascii="Times New Roman" w:hAnsi="Times New Roman"/>
          <w:sz w:val="24"/>
          <w:szCs w:val="24"/>
        </w:rPr>
        <w:t xml:space="preserve">în domeniul </w:t>
      </w:r>
      <w:proofErr w:type="spellStart"/>
      <w:r w:rsidRPr="00ED4BB1">
        <w:rPr>
          <w:rFonts w:ascii="Times New Roman" w:hAnsi="Times New Roman"/>
          <w:sz w:val="24"/>
          <w:szCs w:val="24"/>
        </w:rPr>
        <w:t>calităţii</w:t>
      </w:r>
      <w:proofErr w:type="spellEnd"/>
    </w:p>
    <w:p w14:paraId="744C1CBF" w14:textId="77777777" w:rsidR="00F9706C" w:rsidRDefault="002D778B" w:rsidP="00F9706C">
      <w:pPr>
        <w:numPr>
          <w:ilvl w:val="0"/>
          <w:numId w:val="8"/>
        </w:numPr>
        <w:tabs>
          <w:tab w:val="clear" w:pos="1080"/>
          <w:tab w:val="num" w:pos="360"/>
        </w:tabs>
        <w:spacing w:after="0" w:line="360" w:lineRule="auto"/>
        <w:ind w:hanging="1080"/>
        <w:jc w:val="both"/>
        <w:rPr>
          <w:rFonts w:ascii="Times New Roman" w:hAnsi="Times New Roman"/>
          <w:sz w:val="24"/>
          <w:szCs w:val="24"/>
        </w:rPr>
      </w:pPr>
      <w:r w:rsidRPr="00ED4BB1">
        <w:rPr>
          <w:rFonts w:ascii="Times New Roman" w:hAnsi="Times New Roman"/>
          <w:sz w:val="24"/>
          <w:szCs w:val="24"/>
        </w:rPr>
        <w:t xml:space="preserve">Reguli de </w:t>
      </w:r>
      <w:r w:rsidRPr="00ED4BB1">
        <w:rPr>
          <w:rFonts w:ascii="Times New Roman" w:hAnsi="Times New Roman"/>
          <w:bCs/>
          <w:sz w:val="24"/>
          <w:szCs w:val="24"/>
        </w:rPr>
        <w:t xml:space="preserve">Buna practică de </w:t>
      </w:r>
      <w:proofErr w:type="spellStart"/>
      <w:r w:rsidRPr="00ED4BB1">
        <w:rPr>
          <w:rFonts w:ascii="Times New Roman" w:hAnsi="Times New Roman"/>
          <w:bCs/>
          <w:sz w:val="24"/>
          <w:szCs w:val="24"/>
        </w:rPr>
        <w:t>distribuţie</w:t>
      </w:r>
      <w:proofErr w:type="spellEnd"/>
      <w:r w:rsidRPr="00ED4BB1">
        <w:rPr>
          <w:rFonts w:ascii="Times New Roman" w:hAnsi="Times New Roman"/>
          <w:bCs/>
          <w:sz w:val="24"/>
          <w:szCs w:val="24"/>
        </w:rPr>
        <w:t xml:space="preserve"> </w:t>
      </w:r>
      <w:r w:rsidRPr="00ED4BB1">
        <w:rPr>
          <w:rFonts w:ascii="Times New Roman" w:hAnsi="Times New Roman"/>
          <w:bCs/>
          <w:i/>
          <w:sz w:val="24"/>
          <w:szCs w:val="24"/>
        </w:rPr>
        <w:t>angro</w:t>
      </w:r>
      <w:r w:rsidRPr="00ED4BB1">
        <w:rPr>
          <w:rFonts w:ascii="Times New Roman" w:hAnsi="Times New Roman"/>
          <w:bCs/>
          <w:sz w:val="24"/>
          <w:szCs w:val="24"/>
        </w:rPr>
        <w:t xml:space="preserve"> a medicamentelor.</w:t>
      </w:r>
      <w:r w:rsidRPr="00ED4BB1">
        <w:rPr>
          <w:rFonts w:ascii="Times New Roman" w:hAnsi="Times New Roman"/>
          <w:sz w:val="24"/>
          <w:szCs w:val="24"/>
        </w:rPr>
        <w:t xml:space="preserve"> Asigurarea managementului</w:t>
      </w:r>
    </w:p>
    <w:p w14:paraId="69EF1138" w14:textId="18684C84" w:rsidR="002D778B" w:rsidRPr="00ED4BB1" w:rsidRDefault="002D778B" w:rsidP="00F9706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D4BB1">
        <w:rPr>
          <w:rFonts w:ascii="Times New Roman" w:hAnsi="Times New Roman"/>
          <w:sz w:val="24"/>
          <w:szCs w:val="24"/>
        </w:rPr>
        <w:t>calității privind regulile de bună practică de distribuție</w:t>
      </w:r>
    </w:p>
    <w:p w14:paraId="137491D9" w14:textId="0978868F" w:rsidR="002D778B" w:rsidRPr="00ED4BB1" w:rsidRDefault="002D778B" w:rsidP="00F9706C">
      <w:pPr>
        <w:numPr>
          <w:ilvl w:val="0"/>
          <w:numId w:val="8"/>
        </w:numPr>
        <w:tabs>
          <w:tab w:val="clear" w:pos="1080"/>
          <w:tab w:val="num" w:pos="36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D4BB1">
        <w:rPr>
          <w:rFonts w:ascii="Times New Roman" w:hAnsi="Times New Roman"/>
          <w:sz w:val="24"/>
          <w:szCs w:val="24"/>
        </w:rPr>
        <w:t>Reglementări naționale și europene privind activitatea de farmacovigilență</w:t>
      </w:r>
      <w:r w:rsidRPr="00ED4BB1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ED4BB1">
        <w:rPr>
          <w:rFonts w:ascii="Times New Roman" w:hAnsi="Times New Roman"/>
          <w:bCs/>
          <w:sz w:val="24"/>
          <w:szCs w:val="24"/>
        </w:rPr>
        <w:t>Autorităţi</w:t>
      </w:r>
      <w:proofErr w:type="spellEnd"/>
      <w:r w:rsidRPr="00ED4BB1">
        <w:rPr>
          <w:rFonts w:ascii="Times New Roman" w:hAnsi="Times New Roman"/>
          <w:bCs/>
          <w:sz w:val="24"/>
          <w:szCs w:val="24"/>
        </w:rPr>
        <w:t xml:space="preserve"> competente</w:t>
      </w:r>
      <w:r w:rsidR="00F9706C">
        <w:rPr>
          <w:rFonts w:ascii="Times New Roman" w:hAnsi="Times New Roman"/>
          <w:bCs/>
          <w:sz w:val="24"/>
          <w:szCs w:val="24"/>
        </w:rPr>
        <w:t xml:space="preserve"> </w:t>
      </w:r>
      <w:r w:rsidRPr="00ED4BB1">
        <w:rPr>
          <w:rFonts w:ascii="Times New Roman" w:hAnsi="Times New Roman"/>
          <w:bCs/>
          <w:sz w:val="24"/>
          <w:szCs w:val="24"/>
        </w:rPr>
        <w:t>în domeniul farmacovigilenței. Principii de bună practică de farmacovigilență</w:t>
      </w:r>
    </w:p>
    <w:p w14:paraId="7A0BF903" w14:textId="779D01BF" w:rsidR="002D778B" w:rsidRPr="00ED4BB1" w:rsidRDefault="002D778B" w:rsidP="00F9706C">
      <w:pPr>
        <w:numPr>
          <w:ilvl w:val="0"/>
          <w:numId w:val="8"/>
        </w:numPr>
        <w:tabs>
          <w:tab w:val="clear" w:pos="1080"/>
          <w:tab w:val="num" w:pos="36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D4BB1">
        <w:rPr>
          <w:rFonts w:ascii="Times New Roman" w:hAnsi="Times New Roman"/>
          <w:sz w:val="24"/>
          <w:szCs w:val="24"/>
        </w:rPr>
        <w:t xml:space="preserve"> Reglementarea activităților cu stupefiante și psihotrope. Utilizarea medicala a produselor cu</w:t>
      </w:r>
      <w:r w:rsidR="00F9706C">
        <w:rPr>
          <w:rFonts w:ascii="Times New Roman" w:hAnsi="Times New Roman"/>
          <w:sz w:val="24"/>
          <w:szCs w:val="24"/>
        </w:rPr>
        <w:t xml:space="preserve"> </w:t>
      </w:r>
      <w:r w:rsidRPr="00ED4BB1">
        <w:rPr>
          <w:rFonts w:ascii="Times New Roman" w:hAnsi="Times New Roman"/>
          <w:sz w:val="24"/>
          <w:szCs w:val="24"/>
        </w:rPr>
        <w:t xml:space="preserve">stupefiante / psihotrope și </w:t>
      </w:r>
      <w:proofErr w:type="spellStart"/>
      <w:r w:rsidRPr="00ED4BB1">
        <w:rPr>
          <w:rFonts w:ascii="Times New Roman" w:hAnsi="Times New Roman"/>
          <w:sz w:val="24"/>
          <w:szCs w:val="24"/>
        </w:rPr>
        <w:t>obligaţiile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persoanelor autorizate să efectueze </w:t>
      </w:r>
      <w:proofErr w:type="spellStart"/>
      <w:r w:rsidRPr="00ED4BB1">
        <w:rPr>
          <w:rFonts w:ascii="Times New Roman" w:hAnsi="Times New Roman"/>
          <w:sz w:val="24"/>
          <w:szCs w:val="24"/>
        </w:rPr>
        <w:t>operaţiuni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cu aceste produse.</w:t>
      </w:r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Evidenţa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păstrarea plantelor,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substanţelor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preparatelor cu  stupefiante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psihotrope</w:t>
      </w:r>
    </w:p>
    <w:p w14:paraId="385CD75C" w14:textId="724F62E5" w:rsidR="002D778B" w:rsidRPr="00ED4BB1" w:rsidRDefault="002D778B" w:rsidP="00F9706C">
      <w:pPr>
        <w:numPr>
          <w:ilvl w:val="0"/>
          <w:numId w:val="8"/>
        </w:numPr>
        <w:tabs>
          <w:tab w:val="clear" w:pos="1080"/>
          <w:tab w:val="num" w:pos="360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D4BB1">
        <w:rPr>
          <w:rFonts w:ascii="Times New Roman" w:hAnsi="Times New Roman"/>
          <w:sz w:val="24"/>
          <w:szCs w:val="24"/>
        </w:rPr>
        <w:t>Managementul resurselor umane în practica farmaceutică. Pregătirea, evaluarea și motivarea resursei umane. Rolul farmacistului șef în acordarea asistenței farmaceutice de calitate</w:t>
      </w:r>
    </w:p>
    <w:p w14:paraId="5CBEB438" w14:textId="6A91E7B8" w:rsidR="002D778B" w:rsidRPr="00ED4BB1" w:rsidRDefault="002D778B" w:rsidP="00F9706C">
      <w:pPr>
        <w:numPr>
          <w:ilvl w:val="0"/>
          <w:numId w:val="8"/>
        </w:numPr>
        <w:tabs>
          <w:tab w:val="clear" w:pos="1080"/>
          <w:tab w:val="num" w:pos="360"/>
        </w:tabs>
        <w:spacing w:after="0" w:line="360" w:lineRule="auto"/>
        <w:ind w:hanging="1080"/>
        <w:jc w:val="both"/>
        <w:rPr>
          <w:rFonts w:ascii="Times New Roman" w:hAnsi="Times New Roman"/>
          <w:sz w:val="24"/>
          <w:szCs w:val="24"/>
        </w:rPr>
      </w:pPr>
      <w:r w:rsidRPr="00ED4BB1">
        <w:rPr>
          <w:rFonts w:ascii="Times New Roman" w:eastAsia="Times New Roman" w:hAnsi="Times New Roman"/>
          <w:iCs/>
          <w:kern w:val="24"/>
          <w:sz w:val="24"/>
          <w:szCs w:val="24"/>
        </w:rPr>
        <w:t>Reguli de bună practică privind desfășurarea activității în farmacie</w:t>
      </w:r>
    </w:p>
    <w:p w14:paraId="1B14B358" w14:textId="77777777" w:rsidR="002D778B" w:rsidRPr="00ED4BB1" w:rsidRDefault="002D778B" w:rsidP="00F9706C">
      <w:pPr>
        <w:numPr>
          <w:ilvl w:val="0"/>
          <w:numId w:val="8"/>
        </w:numPr>
        <w:tabs>
          <w:tab w:val="clear" w:pos="1080"/>
          <w:tab w:val="num" w:pos="360"/>
        </w:tabs>
        <w:spacing w:after="0" w:line="360" w:lineRule="auto"/>
        <w:ind w:hanging="1080"/>
        <w:jc w:val="both"/>
        <w:rPr>
          <w:rFonts w:ascii="Times New Roman" w:hAnsi="Times New Roman"/>
          <w:sz w:val="24"/>
          <w:szCs w:val="24"/>
        </w:rPr>
      </w:pPr>
      <w:r w:rsidRPr="00ED4BB1">
        <w:rPr>
          <w:rFonts w:ascii="Times New Roman" w:hAnsi="Times New Roman"/>
          <w:sz w:val="24"/>
          <w:szCs w:val="24"/>
        </w:rPr>
        <w:t>Exercitarea profesiei de farmacist</w:t>
      </w:r>
    </w:p>
    <w:p w14:paraId="0430F922" w14:textId="77777777" w:rsidR="002D778B" w:rsidRPr="00C51606" w:rsidRDefault="002D778B" w:rsidP="00F9706C">
      <w:pPr>
        <w:tabs>
          <w:tab w:val="num" w:pos="360"/>
        </w:tabs>
        <w:spacing w:after="0" w:line="240" w:lineRule="auto"/>
        <w:ind w:hanging="1080"/>
        <w:jc w:val="both"/>
        <w:rPr>
          <w:rFonts w:ascii="Times New Roman" w:hAnsi="Times New Roman"/>
          <w:sz w:val="20"/>
          <w:szCs w:val="20"/>
        </w:rPr>
      </w:pPr>
    </w:p>
    <w:p w14:paraId="65D24FBC" w14:textId="572F09A6" w:rsidR="002D778B" w:rsidRPr="00ED4BB1" w:rsidRDefault="002D778B" w:rsidP="00CA0F21">
      <w:pPr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ED4BB1">
        <w:rPr>
          <w:rFonts w:ascii="Times New Roman" w:hAnsi="Times New Roman"/>
          <w:b/>
          <w:sz w:val="24"/>
          <w:szCs w:val="24"/>
        </w:rPr>
        <w:t>Bibliografie</w:t>
      </w:r>
    </w:p>
    <w:p w14:paraId="5049DCF3" w14:textId="7BDCD699" w:rsidR="002D778B" w:rsidRPr="00ED4BB1" w:rsidRDefault="002D778B" w:rsidP="002D778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Carata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A. – </w:t>
      </w:r>
      <w:r w:rsidRPr="00ED4BB1">
        <w:rPr>
          <w:rFonts w:ascii="Times New Roman" w:hAnsi="Times New Roman"/>
          <w:i/>
          <w:sz w:val="24"/>
          <w:szCs w:val="24"/>
        </w:rPr>
        <w:t xml:space="preserve">Management, Marketing </w:t>
      </w:r>
      <w:proofErr w:type="spellStart"/>
      <w:r w:rsidRPr="00ED4BB1">
        <w:rPr>
          <w:rFonts w:ascii="Times New Roman" w:hAnsi="Times New Roman"/>
          <w:i/>
          <w:sz w:val="24"/>
          <w:szCs w:val="24"/>
        </w:rPr>
        <w:t>și</w:t>
      </w:r>
      <w:proofErr w:type="spellEnd"/>
      <w:r w:rsidRPr="00ED4B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i/>
          <w:sz w:val="24"/>
          <w:szCs w:val="24"/>
        </w:rPr>
        <w:t>Legislație</w:t>
      </w:r>
      <w:proofErr w:type="spellEnd"/>
      <w:r w:rsidRPr="00ED4B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i/>
          <w:sz w:val="24"/>
          <w:szCs w:val="24"/>
        </w:rPr>
        <w:t>farmaceutică</w:t>
      </w:r>
      <w:proofErr w:type="spellEnd"/>
      <w:r w:rsidRPr="00ED4BB1">
        <w:rPr>
          <w:rFonts w:ascii="Times New Roman" w:hAnsi="Times New Roman"/>
          <w:i/>
          <w:sz w:val="24"/>
          <w:szCs w:val="24"/>
        </w:rPr>
        <w:t xml:space="preserve">- Vol. I –Management </w:t>
      </w:r>
      <w:proofErr w:type="spellStart"/>
      <w:r w:rsidRPr="00ED4BB1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ED4B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i/>
          <w:sz w:val="24"/>
          <w:szCs w:val="24"/>
        </w:rPr>
        <w:t>domeniul</w:t>
      </w:r>
      <w:proofErr w:type="spellEnd"/>
      <w:r w:rsidRPr="00ED4B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i/>
          <w:sz w:val="24"/>
          <w:szCs w:val="24"/>
        </w:rPr>
        <w:t>farmaceutic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4BB1">
        <w:rPr>
          <w:rFonts w:ascii="Times New Roman" w:hAnsi="Times New Roman"/>
          <w:sz w:val="24"/>
          <w:szCs w:val="24"/>
        </w:rPr>
        <w:t>Ediția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D4BB1">
        <w:rPr>
          <w:rFonts w:ascii="Times New Roman" w:hAnsi="Times New Roman"/>
          <w:sz w:val="24"/>
          <w:szCs w:val="24"/>
        </w:rPr>
        <w:t>a</w:t>
      </w:r>
      <w:proofErr w:type="gramEnd"/>
      <w:r w:rsidRPr="00ED4BB1">
        <w:rPr>
          <w:rFonts w:ascii="Times New Roman" w:hAnsi="Times New Roman"/>
          <w:sz w:val="24"/>
          <w:szCs w:val="24"/>
        </w:rPr>
        <w:t xml:space="preserve"> II-a</w:t>
      </w:r>
      <w:r w:rsidRPr="00ED4BB1">
        <w:rPr>
          <w:rFonts w:ascii="Times New Roman" w:hAnsi="Times New Roman"/>
          <w:i/>
          <w:sz w:val="24"/>
          <w:szCs w:val="24"/>
        </w:rPr>
        <w:t xml:space="preserve"> –</w:t>
      </w:r>
      <w:r w:rsidR="00C51606">
        <w:rPr>
          <w:rFonts w:ascii="Times New Roman" w:hAnsi="Times New Roman"/>
          <w:i/>
          <w:sz w:val="24"/>
          <w:szCs w:val="24"/>
        </w:rPr>
        <w:t xml:space="preserve"> </w:t>
      </w:r>
      <w:r w:rsidRPr="00ED4BB1">
        <w:rPr>
          <w:rFonts w:ascii="Times New Roman" w:hAnsi="Times New Roman"/>
          <w:sz w:val="24"/>
          <w:szCs w:val="24"/>
        </w:rPr>
        <w:t xml:space="preserve">EDP, </w:t>
      </w:r>
      <w:proofErr w:type="spellStart"/>
      <w:r w:rsidRPr="00ED4BB1">
        <w:rPr>
          <w:rFonts w:ascii="Times New Roman" w:hAnsi="Times New Roman"/>
          <w:sz w:val="24"/>
          <w:szCs w:val="24"/>
        </w:rPr>
        <w:t>București</w:t>
      </w:r>
      <w:proofErr w:type="spellEnd"/>
      <w:r w:rsidRPr="00ED4BB1">
        <w:rPr>
          <w:rFonts w:ascii="Times New Roman" w:hAnsi="Times New Roman"/>
          <w:sz w:val="24"/>
          <w:szCs w:val="24"/>
        </w:rPr>
        <w:t>, 2008</w:t>
      </w:r>
    </w:p>
    <w:p w14:paraId="3CAE4792" w14:textId="5AC82C81" w:rsidR="002D778B" w:rsidRPr="00ED4BB1" w:rsidRDefault="002D778B" w:rsidP="002D778B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Carata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A, </w:t>
      </w:r>
      <w:proofErr w:type="spellStart"/>
      <w:r w:rsidRPr="00ED4BB1">
        <w:rPr>
          <w:rFonts w:ascii="Times New Roman" w:hAnsi="Times New Roman"/>
          <w:sz w:val="24"/>
          <w:szCs w:val="24"/>
        </w:rPr>
        <w:t>Soroceanu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V. </w:t>
      </w:r>
      <w:proofErr w:type="spellStart"/>
      <w:r w:rsidRPr="00ED4BB1">
        <w:rPr>
          <w:rFonts w:ascii="Times New Roman" w:hAnsi="Times New Roman"/>
          <w:sz w:val="24"/>
          <w:szCs w:val="24"/>
        </w:rPr>
        <w:t>Tăerel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A.E., – </w:t>
      </w:r>
      <w:r w:rsidRPr="00ED4BB1">
        <w:rPr>
          <w:rFonts w:ascii="Times New Roman" w:hAnsi="Times New Roman"/>
          <w:i/>
          <w:sz w:val="24"/>
          <w:szCs w:val="24"/>
        </w:rPr>
        <w:t xml:space="preserve">Management, Marketing </w:t>
      </w:r>
      <w:proofErr w:type="spellStart"/>
      <w:r w:rsidRPr="00ED4BB1">
        <w:rPr>
          <w:rFonts w:ascii="Times New Roman" w:hAnsi="Times New Roman"/>
          <w:i/>
          <w:sz w:val="24"/>
          <w:szCs w:val="24"/>
        </w:rPr>
        <w:t>și</w:t>
      </w:r>
      <w:proofErr w:type="spellEnd"/>
      <w:r w:rsidRPr="00ED4B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i/>
          <w:sz w:val="24"/>
          <w:szCs w:val="24"/>
        </w:rPr>
        <w:t>Legislație</w:t>
      </w:r>
      <w:proofErr w:type="spellEnd"/>
      <w:r w:rsidRPr="00ED4B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i/>
          <w:sz w:val="24"/>
          <w:szCs w:val="24"/>
        </w:rPr>
        <w:t>farmaceutică</w:t>
      </w:r>
      <w:proofErr w:type="spellEnd"/>
      <w:r w:rsidRPr="00ED4BB1">
        <w:rPr>
          <w:rFonts w:ascii="Times New Roman" w:hAnsi="Times New Roman"/>
          <w:i/>
          <w:sz w:val="24"/>
          <w:szCs w:val="24"/>
        </w:rPr>
        <w:t xml:space="preserve">- Vol. II – Marketing-Management </w:t>
      </w:r>
      <w:proofErr w:type="spellStart"/>
      <w:r w:rsidRPr="00ED4BB1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ED4B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i/>
          <w:sz w:val="24"/>
          <w:szCs w:val="24"/>
        </w:rPr>
        <w:t>domeniul</w:t>
      </w:r>
      <w:proofErr w:type="spellEnd"/>
      <w:r w:rsidRPr="00ED4B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i/>
          <w:sz w:val="24"/>
          <w:szCs w:val="24"/>
        </w:rPr>
        <w:t>farmaceutic</w:t>
      </w:r>
      <w:proofErr w:type="spellEnd"/>
      <w:r w:rsidRPr="00ED4BB1">
        <w:rPr>
          <w:rFonts w:ascii="Times New Roman" w:hAnsi="Times New Roman"/>
          <w:i/>
          <w:sz w:val="24"/>
          <w:szCs w:val="24"/>
        </w:rPr>
        <w:t>,</w:t>
      </w:r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Ediția</w:t>
      </w:r>
      <w:proofErr w:type="spellEnd"/>
      <w:r w:rsidR="00C5160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D4BB1">
        <w:rPr>
          <w:rFonts w:ascii="Times New Roman" w:hAnsi="Times New Roman"/>
          <w:sz w:val="24"/>
          <w:szCs w:val="24"/>
        </w:rPr>
        <w:t>a</w:t>
      </w:r>
      <w:proofErr w:type="gramEnd"/>
      <w:r w:rsidR="00C51606">
        <w:rPr>
          <w:rFonts w:ascii="Times New Roman" w:hAnsi="Times New Roman"/>
          <w:sz w:val="24"/>
          <w:szCs w:val="24"/>
        </w:rPr>
        <w:t xml:space="preserve"> </w:t>
      </w:r>
      <w:r w:rsidRPr="00ED4BB1">
        <w:rPr>
          <w:rFonts w:ascii="Times New Roman" w:hAnsi="Times New Roman"/>
          <w:sz w:val="24"/>
          <w:szCs w:val="24"/>
        </w:rPr>
        <w:t>II-a</w:t>
      </w:r>
      <w:r w:rsidRPr="00ED4BB1">
        <w:rPr>
          <w:rFonts w:ascii="Times New Roman" w:hAnsi="Times New Roman"/>
          <w:i/>
          <w:sz w:val="24"/>
          <w:szCs w:val="24"/>
        </w:rPr>
        <w:t xml:space="preserve"> –</w:t>
      </w:r>
      <w:r w:rsidR="00CA0F21">
        <w:rPr>
          <w:rFonts w:ascii="Times New Roman" w:hAnsi="Times New Roman"/>
          <w:i/>
          <w:sz w:val="24"/>
          <w:szCs w:val="24"/>
        </w:rPr>
        <w:t xml:space="preserve"> </w:t>
      </w:r>
      <w:r w:rsidRPr="00ED4BB1">
        <w:rPr>
          <w:rFonts w:ascii="Times New Roman" w:hAnsi="Times New Roman"/>
          <w:sz w:val="24"/>
          <w:szCs w:val="24"/>
        </w:rPr>
        <w:t xml:space="preserve">Ed.-Tipo. </w:t>
      </w:r>
      <w:proofErr w:type="spellStart"/>
      <w:r w:rsidRPr="00ED4BB1">
        <w:rPr>
          <w:rFonts w:ascii="Times New Roman" w:hAnsi="Times New Roman"/>
          <w:sz w:val="24"/>
          <w:szCs w:val="24"/>
        </w:rPr>
        <w:t>Tehnoplast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4BB1">
        <w:rPr>
          <w:rFonts w:ascii="Times New Roman" w:hAnsi="Times New Roman"/>
          <w:sz w:val="24"/>
          <w:szCs w:val="24"/>
        </w:rPr>
        <w:t>București</w:t>
      </w:r>
      <w:proofErr w:type="spellEnd"/>
      <w:r w:rsidRPr="00ED4BB1">
        <w:rPr>
          <w:rFonts w:ascii="Times New Roman" w:hAnsi="Times New Roman"/>
          <w:sz w:val="24"/>
          <w:szCs w:val="24"/>
        </w:rPr>
        <w:t>, 2009</w:t>
      </w:r>
    </w:p>
    <w:p w14:paraId="04FC7818" w14:textId="77777777" w:rsidR="002D778B" w:rsidRPr="00ED4BB1" w:rsidRDefault="002D778B" w:rsidP="002D778B">
      <w:pPr>
        <w:pStyle w:val="ListParagraph"/>
        <w:numPr>
          <w:ilvl w:val="0"/>
          <w:numId w:val="9"/>
        </w:num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ED4BB1">
        <w:rPr>
          <w:rFonts w:ascii="Times New Roman" w:hAnsi="Times New Roman"/>
          <w:i/>
          <w:sz w:val="24"/>
          <w:szCs w:val="24"/>
        </w:rPr>
        <w:t xml:space="preserve">Management </w:t>
      </w:r>
      <w:proofErr w:type="spellStart"/>
      <w:r w:rsidRPr="00ED4BB1">
        <w:rPr>
          <w:rFonts w:ascii="Times New Roman" w:hAnsi="Times New Roman"/>
          <w:i/>
          <w:sz w:val="24"/>
          <w:szCs w:val="24"/>
        </w:rPr>
        <w:t>și</w:t>
      </w:r>
      <w:proofErr w:type="spellEnd"/>
      <w:r w:rsidRPr="00ED4BB1">
        <w:rPr>
          <w:rFonts w:ascii="Times New Roman" w:hAnsi="Times New Roman"/>
          <w:i/>
          <w:sz w:val="24"/>
          <w:szCs w:val="24"/>
        </w:rPr>
        <w:t xml:space="preserve"> Marketing </w:t>
      </w:r>
      <w:proofErr w:type="spellStart"/>
      <w:r w:rsidRPr="00ED4BB1">
        <w:rPr>
          <w:rFonts w:ascii="Times New Roman" w:hAnsi="Times New Roman"/>
          <w:i/>
          <w:sz w:val="24"/>
          <w:szCs w:val="24"/>
        </w:rPr>
        <w:t>farmaceutic</w:t>
      </w:r>
      <w:proofErr w:type="spellEnd"/>
      <w:r w:rsidRPr="00ED4BB1">
        <w:rPr>
          <w:rFonts w:ascii="Times New Roman" w:hAnsi="Times New Roman"/>
          <w:i/>
          <w:sz w:val="24"/>
          <w:szCs w:val="24"/>
        </w:rPr>
        <w:t xml:space="preserve"> (</w:t>
      </w:r>
      <w:proofErr w:type="spellStart"/>
      <w:r w:rsidRPr="00ED4BB1">
        <w:rPr>
          <w:rFonts w:ascii="Times New Roman" w:hAnsi="Times New Roman"/>
          <w:i/>
          <w:sz w:val="24"/>
          <w:szCs w:val="24"/>
        </w:rPr>
        <w:t>Teorie</w:t>
      </w:r>
      <w:proofErr w:type="spellEnd"/>
      <w:r w:rsidRPr="00ED4B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i/>
          <w:sz w:val="24"/>
          <w:szCs w:val="24"/>
        </w:rPr>
        <w:t>și</w:t>
      </w:r>
      <w:proofErr w:type="spellEnd"/>
      <w:r w:rsidRPr="00ED4B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i/>
          <w:sz w:val="24"/>
          <w:szCs w:val="24"/>
        </w:rPr>
        <w:t>practică</w:t>
      </w:r>
      <w:proofErr w:type="spellEnd"/>
      <w:r w:rsidRPr="00ED4BB1">
        <w:rPr>
          <w:rFonts w:ascii="Times New Roman" w:hAnsi="Times New Roman"/>
          <w:i/>
          <w:sz w:val="24"/>
          <w:szCs w:val="24"/>
        </w:rPr>
        <w:t>),</w:t>
      </w:r>
      <w:r w:rsidRPr="00ED4BB1">
        <w:rPr>
          <w:rFonts w:ascii="Times New Roman" w:hAnsi="Times New Roman"/>
          <w:sz w:val="24"/>
          <w:szCs w:val="24"/>
        </w:rPr>
        <w:t xml:space="preserve"> Ed. </w:t>
      </w:r>
      <w:proofErr w:type="spellStart"/>
      <w:r w:rsidRPr="00ED4BB1">
        <w:rPr>
          <w:rFonts w:ascii="Times New Roman" w:hAnsi="Times New Roman"/>
          <w:sz w:val="24"/>
          <w:szCs w:val="24"/>
        </w:rPr>
        <w:t>Tehnoplast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, 2016, V. </w:t>
      </w:r>
      <w:proofErr w:type="spellStart"/>
      <w:r w:rsidRPr="00ED4BB1">
        <w:rPr>
          <w:rFonts w:ascii="Times New Roman" w:hAnsi="Times New Roman"/>
          <w:sz w:val="24"/>
          <w:szCs w:val="24"/>
        </w:rPr>
        <w:t>Soroceanu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, A. </w:t>
      </w:r>
      <w:proofErr w:type="spellStart"/>
      <w:r w:rsidRPr="00ED4BB1">
        <w:rPr>
          <w:rFonts w:ascii="Times New Roman" w:hAnsi="Times New Roman"/>
          <w:sz w:val="24"/>
          <w:szCs w:val="24"/>
        </w:rPr>
        <w:t>Tăerel</w:t>
      </w:r>
      <w:proofErr w:type="spellEnd"/>
    </w:p>
    <w:p w14:paraId="6497F234" w14:textId="2EBE5EBA" w:rsidR="002D778B" w:rsidRPr="00D474C5" w:rsidRDefault="002D778B" w:rsidP="002D778B">
      <w:pPr>
        <w:pStyle w:val="ListParagraph"/>
        <w:numPr>
          <w:ilvl w:val="0"/>
          <w:numId w:val="9"/>
        </w:numPr>
        <w:spacing w:after="160" w:line="360" w:lineRule="auto"/>
        <w:jc w:val="both"/>
        <w:rPr>
          <w:rFonts w:ascii="Times New Roman" w:hAnsi="Times New Roman"/>
          <w:i/>
          <w:sz w:val="24"/>
          <w:szCs w:val="24"/>
          <w:lang w:val="pt-BR"/>
        </w:rPr>
      </w:pPr>
      <w:r w:rsidRPr="00D474C5">
        <w:rPr>
          <w:rFonts w:ascii="Times New Roman" w:hAnsi="Times New Roman"/>
          <w:sz w:val="24"/>
          <w:szCs w:val="24"/>
          <w:lang w:val="pt-BR"/>
        </w:rPr>
        <w:t xml:space="preserve">Legea nr. 95/2006 privind reforma </w:t>
      </w:r>
      <w:proofErr w:type="spellStart"/>
      <w:r w:rsidRPr="00D474C5">
        <w:rPr>
          <w:rFonts w:ascii="Times New Roman" w:hAnsi="Times New Roman"/>
          <w:sz w:val="24"/>
          <w:szCs w:val="24"/>
        </w:rPr>
        <w:t>în</w:t>
      </w:r>
      <w:proofErr w:type="spellEnd"/>
      <w:r w:rsidRPr="00D474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/>
          <w:sz w:val="24"/>
          <w:szCs w:val="24"/>
        </w:rPr>
        <w:t>domeniul</w:t>
      </w:r>
      <w:proofErr w:type="spellEnd"/>
      <w:r w:rsidRPr="00D474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74C5">
        <w:rPr>
          <w:rFonts w:ascii="Times New Roman" w:hAnsi="Times New Roman"/>
          <w:sz w:val="24"/>
          <w:szCs w:val="24"/>
        </w:rPr>
        <w:t>sănătăţii</w:t>
      </w:r>
      <w:proofErr w:type="spellEnd"/>
      <w:r w:rsidRPr="00D474C5">
        <w:rPr>
          <w:rFonts w:ascii="Times New Roman" w:hAnsi="Times New Roman"/>
          <w:sz w:val="24"/>
          <w:szCs w:val="24"/>
        </w:rPr>
        <w:t xml:space="preserve"> -</w:t>
      </w:r>
      <w:r w:rsidRPr="00D474C5">
        <w:rPr>
          <w:rFonts w:ascii="Times New Roman" w:hAnsi="Times New Roman"/>
          <w:sz w:val="24"/>
          <w:szCs w:val="24"/>
          <w:lang w:val="pt-BR"/>
        </w:rPr>
        <w:t xml:space="preserve">TITLUL XIV </w:t>
      </w:r>
      <w:r w:rsidRPr="00D474C5">
        <w:rPr>
          <w:rFonts w:ascii="Times New Roman" w:hAnsi="Times New Roman"/>
          <w:i/>
          <w:sz w:val="24"/>
          <w:szCs w:val="24"/>
          <w:lang w:val="pt-BR"/>
        </w:rPr>
        <w:t xml:space="preserve">Exercitarea profesiei de farmacist. Organizarea şi funcţionarea Colegiului Farmaciştilor din România; </w:t>
      </w:r>
      <w:r w:rsidRPr="00D474C5">
        <w:rPr>
          <w:rFonts w:ascii="Times New Roman" w:hAnsi="Times New Roman"/>
          <w:sz w:val="24"/>
          <w:szCs w:val="24"/>
          <w:lang w:val="pt-BR"/>
        </w:rPr>
        <w:t>Titlul XVIII –</w:t>
      </w:r>
      <w:r w:rsidR="00F56CC3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D474C5">
        <w:rPr>
          <w:rFonts w:ascii="Times New Roman" w:hAnsi="Times New Roman"/>
          <w:i/>
          <w:sz w:val="24"/>
          <w:szCs w:val="24"/>
          <w:lang w:val="pt-BR"/>
        </w:rPr>
        <w:t>Medicamentul</w:t>
      </w:r>
    </w:p>
    <w:p w14:paraId="3433ABA7" w14:textId="16FB5866" w:rsidR="002D778B" w:rsidRPr="00F3540E" w:rsidRDefault="002D778B" w:rsidP="002D778B">
      <w:pPr>
        <w:pStyle w:val="ListParagraph"/>
        <w:numPr>
          <w:ilvl w:val="0"/>
          <w:numId w:val="9"/>
        </w:numPr>
        <w:spacing w:after="16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proofErr w:type="spellStart"/>
      <w:r w:rsidRPr="00ED4BB1">
        <w:rPr>
          <w:rFonts w:ascii="Times New Roman" w:hAnsi="Times New Roman"/>
          <w:sz w:val="24"/>
          <w:szCs w:val="24"/>
        </w:rPr>
        <w:t>Legea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Farmaciei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nr. 266/2008</w:t>
      </w:r>
    </w:p>
    <w:p w14:paraId="437B053D" w14:textId="77777777" w:rsidR="00F3540E" w:rsidRPr="00F3540E" w:rsidRDefault="00F3540E" w:rsidP="00F3540E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lang w:val="pt-BR"/>
        </w:rPr>
      </w:pPr>
    </w:p>
    <w:p w14:paraId="3D4CFBB0" w14:textId="77777777" w:rsidR="002D778B" w:rsidRPr="00ED4BB1" w:rsidRDefault="002D778B" w:rsidP="002D778B">
      <w:pPr>
        <w:pStyle w:val="ListParagraph"/>
        <w:numPr>
          <w:ilvl w:val="0"/>
          <w:numId w:val="9"/>
        </w:numPr>
        <w:spacing w:after="160" w:line="360" w:lineRule="auto"/>
        <w:jc w:val="both"/>
        <w:rPr>
          <w:rFonts w:ascii="Times New Roman" w:hAnsi="Times New Roman"/>
          <w:i/>
          <w:sz w:val="24"/>
          <w:szCs w:val="24"/>
          <w:lang w:val="pt-BR"/>
        </w:rPr>
      </w:pPr>
      <w:proofErr w:type="spellStart"/>
      <w:r w:rsidRPr="00ED4BB1">
        <w:rPr>
          <w:rFonts w:ascii="Times New Roman" w:hAnsi="Times New Roman"/>
          <w:sz w:val="24"/>
          <w:szCs w:val="24"/>
        </w:rPr>
        <w:t>Ordinul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MS nr. 75/2010 </w:t>
      </w:r>
      <w:proofErr w:type="spellStart"/>
      <w:r w:rsidRPr="00ED4BB1">
        <w:rPr>
          <w:rFonts w:ascii="Times New Roman" w:hAnsi="Times New Roman"/>
          <w:sz w:val="24"/>
          <w:szCs w:val="24"/>
        </w:rPr>
        <w:t>privind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aplicarea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i/>
          <w:sz w:val="24"/>
          <w:szCs w:val="24"/>
        </w:rPr>
        <w:t>Regulilor</w:t>
      </w:r>
      <w:proofErr w:type="spellEnd"/>
      <w:r w:rsidRPr="00ED4BB1">
        <w:rPr>
          <w:rFonts w:ascii="Times New Roman" w:hAnsi="Times New Roman"/>
          <w:i/>
          <w:sz w:val="24"/>
          <w:szCs w:val="24"/>
        </w:rPr>
        <w:t xml:space="preserve"> de </w:t>
      </w:r>
      <w:proofErr w:type="spellStart"/>
      <w:r w:rsidRPr="00ED4BB1">
        <w:rPr>
          <w:rFonts w:ascii="Times New Roman" w:hAnsi="Times New Roman"/>
          <w:i/>
          <w:sz w:val="24"/>
          <w:szCs w:val="24"/>
        </w:rPr>
        <w:t>Bună</w:t>
      </w:r>
      <w:proofErr w:type="spellEnd"/>
      <w:r w:rsidRPr="00ED4B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i/>
          <w:sz w:val="24"/>
          <w:szCs w:val="24"/>
        </w:rPr>
        <w:t>Practică</w:t>
      </w:r>
      <w:proofErr w:type="spellEnd"/>
      <w:r w:rsidRPr="00ED4BB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i/>
          <w:sz w:val="24"/>
          <w:szCs w:val="24"/>
        </w:rPr>
        <w:t>Farmaceutică</w:t>
      </w:r>
      <w:proofErr w:type="spellEnd"/>
    </w:p>
    <w:p w14:paraId="4D60567E" w14:textId="657DADD7" w:rsidR="002D778B" w:rsidRPr="00ED4BB1" w:rsidRDefault="002D778B" w:rsidP="002D778B">
      <w:pPr>
        <w:pStyle w:val="ListParagraph"/>
        <w:numPr>
          <w:ilvl w:val="0"/>
          <w:numId w:val="9"/>
        </w:numPr>
        <w:spacing w:after="16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D4BB1">
        <w:rPr>
          <w:rFonts w:ascii="Times New Roman" w:eastAsia="Times New Roman" w:hAnsi="Times New Roman"/>
          <w:bCs/>
          <w:i/>
          <w:kern w:val="24"/>
          <w:sz w:val="24"/>
          <w:szCs w:val="24"/>
          <w:lang w:val="it-IT"/>
        </w:rPr>
        <w:t>Codul Deontologic al Farmacistului</w:t>
      </w:r>
      <w:r w:rsidRPr="00ED4BB1">
        <w:rPr>
          <w:rFonts w:ascii="Times New Roman" w:eastAsia="Times New Roman" w:hAnsi="Times New Roman"/>
          <w:bCs/>
          <w:kern w:val="24"/>
          <w:sz w:val="24"/>
          <w:szCs w:val="24"/>
          <w:lang w:val="it-IT"/>
        </w:rPr>
        <w:t xml:space="preserve">, emitent Colegiul Farmaciștilor din România, </w:t>
      </w:r>
      <w:r w:rsidRPr="00ED4BB1">
        <w:rPr>
          <w:rFonts w:ascii="Times New Roman" w:hAnsi="Times New Roman"/>
          <w:sz w:val="24"/>
          <w:szCs w:val="24"/>
          <w:shd w:val="clear" w:color="auto" w:fill="FFFFFF"/>
        </w:rPr>
        <w:t xml:space="preserve">MO nr. 490 din 15 </w:t>
      </w:r>
      <w:proofErr w:type="spellStart"/>
      <w:r w:rsidRPr="00ED4BB1">
        <w:rPr>
          <w:rFonts w:ascii="Times New Roman" w:hAnsi="Times New Roman"/>
          <w:sz w:val="24"/>
          <w:szCs w:val="24"/>
          <w:shd w:val="clear" w:color="auto" w:fill="FFFFFF"/>
        </w:rPr>
        <w:t>iulie</w:t>
      </w:r>
      <w:proofErr w:type="spellEnd"/>
      <w:r w:rsidRPr="00ED4BB1">
        <w:rPr>
          <w:rFonts w:ascii="Times New Roman" w:hAnsi="Times New Roman"/>
          <w:sz w:val="24"/>
          <w:szCs w:val="24"/>
          <w:shd w:val="clear" w:color="auto" w:fill="FFFFFF"/>
        </w:rPr>
        <w:t xml:space="preserve"> 2009</w:t>
      </w:r>
    </w:p>
    <w:p w14:paraId="03E30B86" w14:textId="2182FECD" w:rsidR="002D778B" w:rsidRPr="00ED4BB1" w:rsidRDefault="002D778B" w:rsidP="002D778B">
      <w:pPr>
        <w:pStyle w:val="ListParagraph"/>
        <w:numPr>
          <w:ilvl w:val="0"/>
          <w:numId w:val="9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ED4BB1">
        <w:rPr>
          <w:rFonts w:ascii="Times New Roman" w:hAnsi="Times New Roman"/>
          <w:sz w:val="24"/>
          <w:szCs w:val="24"/>
        </w:rPr>
        <w:t>Directiva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2001/83/CE a </w:t>
      </w:r>
      <w:proofErr w:type="spellStart"/>
      <w:r w:rsidRPr="00ED4BB1">
        <w:rPr>
          <w:rFonts w:ascii="Times New Roman" w:hAnsi="Times New Roman"/>
          <w:sz w:val="24"/>
          <w:szCs w:val="24"/>
        </w:rPr>
        <w:t>Parlamentului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european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şi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D4BB1">
        <w:rPr>
          <w:rFonts w:ascii="Times New Roman" w:hAnsi="Times New Roman"/>
          <w:sz w:val="24"/>
          <w:szCs w:val="24"/>
        </w:rPr>
        <w:t>Consiliului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, din 6 </w:t>
      </w:r>
      <w:proofErr w:type="spellStart"/>
      <w:r w:rsidRPr="00ED4BB1">
        <w:rPr>
          <w:rFonts w:ascii="Times New Roman" w:hAnsi="Times New Roman"/>
          <w:sz w:val="24"/>
          <w:szCs w:val="24"/>
        </w:rPr>
        <w:t>noiembrie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2001 de </w:t>
      </w:r>
      <w:proofErr w:type="spellStart"/>
      <w:r w:rsidRPr="00ED4BB1">
        <w:rPr>
          <w:rFonts w:ascii="Times New Roman" w:hAnsi="Times New Roman"/>
          <w:sz w:val="24"/>
          <w:szCs w:val="24"/>
        </w:rPr>
        <w:t>instituire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D4BB1">
        <w:rPr>
          <w:rFonts w:ascii="Times New Roman" w:hAnsi="Times New Roman"/>
          <w:sz w:val="24"/>
          <w:szCs w:val="24"/>
        </w:rPr>
        <w:t>unui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cod </w:t>
      </w:r>
      <w:proofErr w:type="spellStart"/>
      <w:r w:rsidRPr="00ED4BB1">
        <w:rPr>
          <w:rFonts w:ascii="Times New Roman" w:hAnsi="Times New Roman"/>
          <w:sz w:val="24"/>
          <w:szCs w:val="24"/>
        </w:rPr>
        <w:t>comunitar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ED4BB1">
        <w:rPr>
          <w:rFonts w:ascii="Times New Roman" w:hAnsi="Times New Roman"/>
          <w:sz w:val="24"/>
          <w:szCs w:val="24"/>
        </w:rPr>
        <w:t>medicamentelor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D4BB1">
        <w:rPr>
          <w:rFonts w:ascii="Times New Roman" w:hAnsi="Times New Roman"/>
          <w:sz w:val="24"/>
          <w:szCs w:val="24"/>
        </w:rPr>
        <w:t>uz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uman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4BB1">
        <w:rPr>
          <w:rFonts w:ascii="Times New Roman" w:hAnsi="Times New Roman"/>
          <w:sz w:val="24"/>
          <w:szCs w:val="24"/>
        </w:rPr>
        <w:t>Jurnalul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Oficial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ED4BB1">
        <w:rPr>
          <w:rFonts w:ascii="Times New Roman" w:hAnsi="Times New Roman"/>
          <w:sz w:val="24"/>
          <w:szCs w:val="24"/>
        </w:rPr>
        <w:t>Uniunii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Europene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nr. L 311 din 28/11/2001, cu </w:t>
      </w:r>
      <w:proofErr w:type="spellStart"/>
      <w:r w:rsidRPr="00ED4BB1">
        <w:rPr>
          <w:rFonts w:ascii="Times New Roman" w:hAnsi="Times New Roman"/>
          <w:sz w:val="24"/>
          <w:szCs w:val="24"/>
        </w:rPr>
        <w:t>modificările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şi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completările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ulterioare</w:t>
      </w:r>
      <w:proofErr w:type="spellEnd"/>
    </w:p>
    <w:p w14:paraId="383DCECD" w14:textId="3975D551" w:rsidR="002D778B" w:rsidRPr="00ED4BB1" w:rsidRDefault="002D778B" w:rsidP="002D778B">
      <w:pPr>
        <w:pStyle w:val="ListParagraph"/>
        <w:numPr>
          <w:ilvl w:val="0"/>
          <w:numId w:val="9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ED4BB1">
        <w:rPr>
          <w:rFonts w:ascii="Times New Roman" w:hAnsi="Times New Roman"/>
          <w:sz w:val="24"/>
          <w:szCs w:val="24"/>
        </w:rPr>
        <w:t>Regulamentul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(CE) nr. 726/2004 al </w:t>
      </w:r>
      <w:proofErr w:type="spellStart"/>
      <w:r w:rsidRPr="00ED4BB1">
        <w:rPr>
          <w:rFonts w:ascii="Times New Roman" w:hAnsi="Times New Roman"/>
          <w:sz w:val="24"/>
          <w:szCs w:val="24"/>
        </w:rPr>
        <w:t>Parlamentului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european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şi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D4BB1">
        <w:rPr>
          <w:rFonts w:ascii="Times New Roman" w:hAnsi="Times New Roman"/>
          <w:sz w:val="24"/>
          <w:szCs w:val="24"/>
        </w:rPr>
        <w:t>Consiliului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, din 31martie 2004, de </w:t>
      </w:r>
      <w:proofErr w:type="spellStart"/>
      <w:r w:rsidRPr="00ED4BB1">
        <w:rPr>
          <w:rFonts w:ascii="Times New Roman" w:hAnsi="Times New Roman"/>
          <w:sz w:val="24"/>
          <w:szCs w:val="24"/>
        </w:rPr>
        <w:t>stabilire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D4BB1">
        <w:rPr>
          <w:rFonts w:ascii="Times New Roman" w:hAnsi="Times New Roman"/>
          <w:sz w:val="24"/>
          <w:szCs w:val="24"/>
        </w:rPr>
        <w:t>procedurilor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comunitare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privind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autorizarea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şi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supravegherea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medicamentelor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D4BB1">
        <w:rPr>
          <w:rFonts w:ascii="Times New Roman" w:hAnsi="Times New Roman"/>
          <w:sz w:val="24"/>
          <w:szCs w:val="24"/>
        </w:rPr>
        <w:t>uz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uman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şi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veterinar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şi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D4BB1">
        <w:rPr>
          <w:rFonts w:ascii="Times New Roman" w:hAnsi="Times New Roman"/>
          <w:sz w:val="24"/>
          <w:szCs w:val="24"/>
        </w:rPr>
        <w:t>instituire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D4BB1">
        <w:rPr>
          <w:rFonts w:ascii="Times New Roman" w:hAnsi="Times New Roman"/>
          <w:sz w:val="24"/>
          <w:szCs w:val="24"/>
        </w:rPr>
        <w:t>unei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Agenţii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Europene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D4BB1">
        <w:rPr>
          <w:rFonts w:ascii="Times New Roman" w:hAnsi="Times New Roman"/>
          <w:sz w:val="24"/>
          <w:szCs w:val="24"/>
        </w:rPr>
        <w:t>Medicamentelor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4BB1">
        <w:rPr>
          <w:rFonts w:ascii="Times New Roman" w:hAnsi="Times New Roman"/>
          <w:sz w:val="24"/>
          <w:szCs w:val="24"/>
        </w:rPr>
        <w:t>Jurnalul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Oficial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ED4BB1">
        <w:rPr>
          <w:rFonts w:ascii="Times New Roman" w:hAnsi="Times New Roman"/>
          <w:sz w:val="24"/>
          <w:szCs w:val="24"/>
        </w:rPr>
        <w:t>Uniunii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Europene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nr. L 136 din 30/04/2004, cu </w:t>
      </w:r>
      <w:proofErr w:type="spellStart"/>
      <w:r w:rsidRPr="00ED4BB1">
        <w:rPr>
          <w:rFonts w:ascii="Times New Roman" w:hAnsi="Times New Roman"/>
          <w:sz w:val="24"/>
          <w:szCs w:val="24"/>
        </w:rPr>
        <w:t>modificările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şi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completările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ulterioare</w:t>
      </w:r>
      <w:proofErr w:type="spellEnd"/>
    </w:p>
    <w:p w14:paraId="36334E03" w14:textId="78854BE7" w:rsidR="002D778B" w:rsidRPr="00ED4BB1" w:rsidRDefault="002D778B" w:rsidP="002D778B">
      <w:pPr>
        <w:pStyle w:val="ListParagraph"/>
        <w:numPr>
          <w:ilvl w:val="0"/>
          <w:numId w:val="9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ED4BB1">
        <w:rPr>
          <w:rFonts w:ascii="Times New Roman" w:hAnsi="Times New Roman"/>
          <w:sz w:val="24"/>
          <w:szCs w:val="24"/>
        </w:rPr>
        <w:t>Regulamentul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D4BB1">
        <w:rPr>
          <w:rFonts w:ascii="Times New Roman" w:hAnsi="Times New Roman"/>
          <w:sz w:val="24"/>
          <w:szCs w:val="24"/>
        </w:rPr>
        <w:t>punere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în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aplicare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(UE) nr. 520/2012 al </w:t>
      </w:r>
      <w:proofErr w:type="spellStart"/>
      <w:r w:rsidRPr="00ED4BB1">
        <w:rPr>
          <w:rFonts w:ascii="Times New Roman" w:hAnsi="Times New Roman"/>
          <w:sz w:val="24"/>
          <w:szCs w:val="24"/>
        </w:rPr>
        <w:t>Comisiei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din 19 </w:t>
      </w:r>
      <w:proofErr w:type="spellStart"/>
      <w:r w:rsidRPr="00ED4BB1">
        <w:rPr>
          <w:rFonts w:ascii="Times New Roman" w:hAnsi="Times New Roman"/>
          <w:sz w:val="24"/>
          <w:szCs w:val="24"/>
        </w:rPr>
        <w:t>iunie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2012 </w:t>
      </w:r>
      <w:proofErr w:type="spellStart"/>
      <w:r w:rsidRPr="00ED4BB1">
        <w:rPr>
          <w:rFonts w:ascii="Times New Roman" w:hAnsi="Times New Roman"/>
          <w:sz w:val="24"/>
          <w:szCs w:val="24"/>
        </w:rPr>
        <w:t>privind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efectuarea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activităţilor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D4BB1">
        <w:rPr>
          <w:rFonts w:ascii="Times New Roman" w:hAnsi="Times New Roman"/>
          <w:sz w:val="24"/>
          <w:szCs w:val="24"/>
        </w:rPr>
        <w:t>farmacovigilenţă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prevăzute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în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Regulamentul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(CE) nr. 726/2004 al </w:t>
      </w:r>
      <w:proofErr w:type="spellStart"/>
      <w:r w:rsidRPr="00ED4BB1">
        <w:rPr>
          <w:rFonts w:ascii="Times New Roman" w:hAnsi="Times New Roman"/>
          <w:sz w:val="24"/>
          <w:szCs w:val="24"/>
        </w:rPr>
        <w:t>Parlamentului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European </w:t>
      </w:r>
      <w:proofErr w:type="spellStart"/>
      <w:r w:rsidRPr="00ED4BB1">
        <w:rPr>
          <w:rFonts w:ascii="Times New Roman" w:hAnsi="Times New Roman"/>
          <w:sz w:val="24"/>
          <w:szCs w:val="24"/>
        </w:rPr>
        <w:t>şi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ED4BB1">
        <w:rPr>
          <w:rFonts w:ascii="Times New Roman" w:hAnsi="Times New Roman"/>
          <w:sz w:val="24"/>
          <w:szCs w:val="24"/>
        </w:rPr>
        <w:t>Consiliului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şi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în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Directiva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2001/83/CE a </w:t>
      </w:r>
      <w:proofErr w:type="spellStart"/>
      <w:r w:rsidRPr="00ED4BB1">
        <w:rPr>
          <w:rFonts w:ascii="Times New Roman" w:hAnsi="Times New Roman"/>
          <w:sz w:val="24"/>
          <w:szCs w:val="24"/>
        </w:rPr>
        <w:t>Parlamentului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European </w:t>
      </w:r>
      <w:proofErr w:type="spellStart"/>
      <w:r w:rsidRPr="00ED4BB1">
        <w:rPr>
          <w:rFonts w:ascii="Times New Roman" w:hAnsi="Times New Roman"/>
          <w:sz w:val="24"/>
          <w:szCs w:val="24"/>
        </w:rPr>
        <w:t>şi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D4BB1">
        <w:rPr>
          <w:rFonts w:ascii="Times New Roman" w:hAnsi="Times New Roman"/>
          <w:sz w:val="24"/>
          <w:szCs w:val="24"/>
        </w:rPr>
        <w:t>Consiliului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D4BB1">
        <w:rPr>
          <w:rFonts w:ascii="Times New Roman" w:hAnsi="Times New Roman"/>
          <w:sz w:val="24"/>
          <w:szCs w:val="24"/>
        </w:rPr>
        <w:t>Jurnalul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Oficial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ED4BB1">
        <w:rPr>
          <w:rFonts w:ascii="Times New Roman" w:hAnsi="Times New Roman"/>
          <w:sz w:val="24"/>
          <w:szCs w:val="24"/>
        </w:rPr>
        <w:t>Uniunii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Europene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nr. L159 din 20/06/2012</w:t>
      </w:r>
    </w:p>
    <w:p w14:paraId="6944A420" w14:textId="77777777" w:rsidR="002D778B" w:rsidRPr="00ED4BB1" w:rsidRDefault="002D778B" w:rsidP="002D778B">
      <w:pPr>
        <w:pStyle w:val="ListParagraph"/>
        <w:numPr>
          <w:ilvl w:val="0"/>
          <w:numId w:val="9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D4BB1">
        <w:rPr>
          <w:rFonts w:ascii="Times New Roman" w:hAnsi="Times New Roman"/>
          <w:sz w:val="24"/>
          <w:szCs w:val="24"/>
        </w:rPr>
        <w:t xml:space="preserve"> European Medicines Agency, </w:t>
      </w:r>
      <w:r w:rsidRPr="00ED4BB1">
        <w:rPr>
          <w:rFonts w:ascii="Times New Roman" w:hAnsi="Times New Roman"/>
          <w:i/>
          <w:sz w:val="24"/>
          <w:szCs w:val="24"/>
        </w:rPr>
        <w:t>Good pharmacovigilance practices</w:t>
      </w:r>
      <w:r w:rsidRPr="00ED4BB1">
        <w:rPr>
          <w:rFonts w:ascii="Times New Roman" w:hAnsi="Times New Roman"/>
          <w:sz w:val="24"/>
          <w:szCs w:val="24"/>
        </w:rPr>
        <w:t xml:space="preserve">, </w:t>
      </w:r>
      <w:hyperlink r:id="rId7" w:history="1">
        <w:r w:rsidRPr="00ED4BB1">
          <w:rPr>
            <w:rStyle w:val="Hyperlink"/>
            <w:rFonts w:ascii="Times New Roman" w:hAnsi="Times New Roman"/>
            <w:sz w:val="24"/>
            <w:szCs w:val="24"/>
          </w:rPr>
          <w:t>http://www.ema.europa.eu/</w:t>
        </w:r>
      </w:hyperlink>
    </w:p>
    <w:p w14:paraId="09595411" w14:textId="2CBDE810" w:rsidR="002D778B" w:rsidRPr="00ED4BB1" w:rsidRDefault="002D778B" w:rsidP="002D778B">
      <w:pPr>
        <w:pStyle w:val="ListParagraph"/>
        <w:numPr>
          <w:ilvl w:val="0"/>
          <w:numId w:val="9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ED4BB1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ED4B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bCs/>
          <w:sz w:val="24"/>
          <w:szCs w:val="24"/>
        </w:rPr>
        <w:t>Consiliului</w:t>
      </w:r>
      <w:proofErr w:type="spellEnd"/>
      <w:r w:rsidRPr="00ED4B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bCs/>
          <w:sz w:val="24"/>
          <w:szCs w:val="24"/>
        </w:rPr>
        <w:t>Ştiinţific</w:t>
      </w:r>
      <w:proofErr w:type="spellEnd"/>
      <w:r w:rsidRPr="00ED4BB1">
        <w:rPr>
          <w:rFonts w:ascii="Times New Roman" w:hAnsi="Times New Roman"/>
          <w:bCs/>
          <w:sz w:val="24"/>
          <w:szCs w:val="24"/>
        </w:rPr>
        <w:t xml:space="preserve"> al ANMDM nr. 12/2015 </w:t>
      </w:r>
      <w:proofErr w:type="spellStart"/>
      <w:r w:rsidRPr="00ED4BB1">
        <w:rPr>
          <w:rFonts w:ascii="Times New Roman" w:hAnsi="Times New Roman"/>
          <w:sz w:val="24"/>
          <w:szCs w:val="24"/>
        </w:rPr>
        <w:t>referitoare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ED4BB1">
        <w:rPr>
          <w:rFonts w:ascii="Times New Roman" w:hAnsi="Times New Roman"/>
          <w:sz w:val="24"/>
          <w:szCs w:val="24"/>
        </w:rPr>
        <w:t>aprobarea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bCs/>
          <w:sz w:val="24"/>
          <w:szCs w:val="24"/>
        </w:rPr>
        <w:t>Ghidului</w:t>
      </w:r>
      <w:proofErr w:type="spellEnd"/>
      <w:r w:rsidRPr="00ED4BB1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ED4BB1">
        <w:rPr>
          <w:rFonts w:ascii="Times New Roman" w:hAnsi="Times New Roman"/>
          <w:bCs/>
          <w:sz w:val="24"/>
          <w:szCs w:val="24"/>
        </w:rPr>
        <w:t>bună</w:t>
      </w:r>
      <w:proofErr w:type="spellEnd"/>
      <w:r w:rsidRPr="00ED4BB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bCs/>
          <w:sz w:val="24"/>
          <w:szCs w:val="24"/>
        </w:rPr>
        <w:t>practică</w:t>
      </w:r>
      <w:proofErr w:type="spellEnd"/>
      <w:r w:rsidRPr="00ED4BB1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ED4BB1">
        <w:rPr>
          <w:rFonts w:ascii="Times New Roman" w:hAnsi="Times New Roman"/>
          <w:bCs/>
          <w:sz w:val="24"/>
          <w:szCs w:val="24"/>
        </w:rPr>
        <w:t>farmacovigilenţă</w:t>
      </w:r>
      <w:proofErr w:type="spellEnd"/>
      <w:r w:rsidRPr="00ED4BB1">
        <w:rPr>
          <w:rFonts w:ascii="Times New Roman" w:hAnsi="Times New Roman"/>
          <w:bCs/>
          <w:sz w:val="24"/>
          <w:szCs w:val="24"/>
        </w:rPr>
        <w:t xml:space="preserve"> – </w:t>
      </w:r>
      <w:proofErr w:type="spellStart"/>
      <w:r w:rsidRPr="00ED4BB1">
        <w:rPr>
          <w:rFonts w:ascii="Times New Roman" w:hAnsi="Times New Roman"/>
          <w:bCs/>
          <w:sz w:val="24"/>
          <w:szCs w:val="24"/>
        </w:rPr>
        <w:t>Dosarul</w:t>
      </w:r>
      <w:proofErr w:type="spellEnd"/>
      <w:r w:rsidRPr="00ED4BB1">
        <w:rPr>
          <w:rFonts w:ascii="Times New Roman" w:hAnsi="Times New Roman"/>
          <w:bCs/>
          <w:sz w:val="24"/>
          <w:szCs w:val="24"/>
        </w:rPr>
        <w:t xml:space="preserve"> standard al </w:t>
      </w:r>
      <w:proofErr w:type="spellStart"/>
      <w:r w:rsidRPr="00ED4BB1">
        <w:rPr>
          <w:rFonts w:ascii="Times New Roman" w:hAnsi="Times New Roman"/>
          <w:bCs/>
          <w:sz w:val="24"/>
          <w:szCs w:val="24"/>
        </w:rPr>
        <w:t>sistemului</w:t>
      </w:r>
      <w:proofErr w:type="spellEnd"/>
      <w:r w:rsidRPr="00ED4BB1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ED4BB1">
        <w:rPr>
          <w:rFonts w:ascii="Times New Roman" w:hAnsi="Times New Roman"/>
          <w:bCs/>
          <w:sz w:val="24"/>
          <w:szCs w:val="24"/>
        </w:rPr>
        <w:t>farmacovigilenţă</w:t>
      </w:r>
      <w:proofErr w:type="spellEnd"/>
    </w:p>
    <w:p w14:paraId="42FACDFE" w14:textId="0C7C6D21" w:rsidR="002D778B" w:rsidRPr="00ED4BB1" w:rsidRDefault="002D778B" w:rsidP="002D778B">
      <w:pPr>
        <w:pStyle w:val="ListParagraph"/>
        <w:numPr>
          <w:ilvl w:val="0"/>
          <w:numId w:val="9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ED4BB1">
        <w:rPr>
          <w:rFonts w:ascii="Times New Roman" w:eastAsia="Times New Roman" w:hAnsi="Times New Roman"/>
          <w:bCs/>
          <w:sz w:val="24"/>
          <w:szCs w:val="24"/>
        </w:rPr>
        <w:t>Directiva</w:t>
      </w:r>
      <w:proofErr w:type="spellEnd"/>
      <w:r w:rsidRPr="00ED4BB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hyperlink r:id="rId8" w:history="1">
        <w:r w:rsidRPr="00ED4BB1">
          <w:rPr>
            <w:rFonts w:ascii="Times New Roman" w:eastAsia="Times New Roman" w:hAnsi="Times New Roman"/>
            <w:bCs/>
            <w:sz w:val="24"/>
            <w:szCs w:val="24"/>
          </w:rPr>
          <w:t>2003/94/CE</w:t>
        </w:r>
      </w:hyperlink>
      <w:r w:rsidRPr="00ED4BB1">
        <w:rPr>
          <w:rFonts w:ascii="Times New Roman" w:eastAsia="Times New Roman" w:hAnsi="Times New Roman"/>
          <w:bCs/>
          <w:sz w:val="24"/>
          <w:szCs w:val="24"/>
        </w:rPr>
        <w:t xml:space="preserve"> a C.E </w:t>
      </w:r>
      <w:r w:rsidRPr="00ED4BB1">
        <w:rPr>
          <w:rFonts w:ascii="Times New Roman" w:eastAsia="Times New Roman" w:hAnsi="Times New Roman"/>
          <w:sz w:val="24"/>
          <w:szCs w:val="24"/>
        </w:rPr>
        <w:t xml:space="preserve">8 oct. 2003 -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principiilor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orientărilor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BPF cu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privire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produsele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medicamentoase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uz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uman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medicamentele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experimentale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uz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uman</w:t>
      </w:r>
      <w:proofErr w:type="spellEnd"/>
    </w:p>
    <w:p w14:paraId="2ABD5D7F" w14:textId="0EFBECB4" w:rsidR="002D778B" w:rsidRPr="00ED4BB1" w:rsidRDefault="002D778B" w:rsidP="002D778B">
      <w:pPr>
        <w:pStyle w:val="ListParagraph"/>
        <w:numPr>
          <w:ilvl w:val="0"/>
          <w:numId w:val="9"/>
        </w:numPr>
        <w:suppressAutoHyphens/>
        <w:spacing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</w:rPr>
      </w:pPr>
      <w:r w:rsidRPr="00ED4BB1">
        <w:rPr>
          <w:rFonts w:ascii="Times New Roman" w:hAnsi="Times New Roman"/>
          <w:sz w:val="24"/>
          <w:szCs w:val="24"/>
        </w:rPr>
        <w:t xml:space="preserve">HOTĂRÂREA CS al ANMDM Nr. 2/26.06.2017 de </w:t>
      </w:r>
      <w:proofErr w:type="spellStart"/>
      <w:r w:rsidRPr="00ED4BB1">
        <w:rPr>
          <w:rFonts w:ascii="Times New Roman" w:hAnsi="Times New Roman"/>
          <w:sz w:val="24"/>
          <w:szCs w:val="24"/>
        </w:rPr>
        <w:t>adoptare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D4BB1">
        <w:rPr>
          <w:rFonts w:ascii="Times New Roman" w:hAnsi="Times New Roman"/>
          <w:sz w:val="24"/>
          <w:szCs w:val="24"/>
        </w:rPr>
        <w:t>Ghidului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privind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buna </w:t>
      </w:r>
      <w:proofErr w:type="spellStart"/>
      <w:r w:rsidRPr="00ED4BB1">
        <w:rPr>
          <w:rFonts w:ascii="Times New Roman" w:hAnsi="Times New Roman"/>
          <w:sz w:val="24"/>
          <w:szCs w:val="24"/>
        </w:rPr>
        <w:t>practică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D4BB1">
        <w:rPr>
          <w:rFonts w:ascii="Times New Roman" w:hAnsi="Times New Roman"/>
          <w:sz w:val="24"/>
          <w:szCs w:val="24"/>
        </w:rPr>
        <w:t>fabricaţie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pentru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medicamentele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D4BB1">
        <w:rPr>
          <w:rFonts w:ascii="Times New Roman" w:hAnsi="Times New Roman"/>
          <w:sz w:val="24"/>
          <w:szCs w:val="24"/>
        </w:rPr>
        <w:t>uz</w:t>
      </w:r>
      <w:proofErr w:type="spellEnd"/>
      <w:r w:rsidRPr="00ED4B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hAnsi="Times New Roman"/>
          <w:sz w:val="24"/>
          <w:szCs w:val="24"/>
        </w:rPr>
        <w:t>uman</w:t>
      </w:r>
      <w:proofErr w:type="spellEnd"/>
    </w:p>
    <w:p w14:paraId="3DB88AE8" w14:textId="71B47214" w:rsidR="002D778B" w:rsidRPr="00ED4BB1" w:rsidRDefault="002D778B" w:rsidP="002D778B">
      <w:pPr>
        <w:pStyle w:val="ListParagraph"/>
        <w:numPr>
          <w:ilvl w:val="0"/>
          <w:numId w:val="9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D4BB1">
        <w:rPr>
          <w:rFonts w:ascii="Times New Roman" w:eastAsia="Times New Roman" w:hAnsi="Times New Roman"/>
          <w:bCs/>
          <w:sz w:val="24"/>
          <w:szCs w:val="24"/>
        </w:rPr>
        <w:t>HCS nr.</w:t>
      </w:r>
      <w:r w:rsidRPr="00ED4BB1">
        <w:rPr>
          <w:rFonts w:ascii="Times New Roman" w:eastAsia="Times New Roman" w:hAnsi="Times New Roman"/>
          <w:bCs/>
          <w:sz w:val="24"/>
          <w:szCs w:val="24"/>
          <w:lang w:val="fr-FR"/>
        </w:rPr>
        <w:t xml:space="preserve"> 23/03</w:t>
      </w:r>
      <w:r w:rsidRPr="00ED4BB1">
        <w:rPr>
          <w:rFonts w:ascii="Times New Roman" w:eastAsia="Times New Roman" w:hAnsi="Times New Roman"/>
          <w:bCs/>
          <w:sz w:val="24"/>
          <w:szCs w:val="24"/>
        </w:rPr>
        <w:t>.</w:t>
      </w:r>
      <w:r w:rsidRPr="00ED4BB1">
        <w:rPr>
          <w:rFonts w:ascii="Times New Roman" w:eastAsia="Times New Roman" w:hAnsi="Times New Roman"/>
          <w:bCs/>
          <w:sz w:val="24"/>
          <w:szCs w:val="24"/>
          <w:lang w:val="fr-FR"/>
        </w:rPr>
        <w:t>07</w:t>
      </w:r>
      <w:r w:rsidRPr="00ED4BB1">
        <w:rPr>
          <w:rFonts w:ascii="Times New Roman" w:eastAsia="Times New Roman" w:hAnsi="Times New Roman"/>
          <w:bCs/>
          <w:sz w:val="24"/>
          <w:szCs w:val="24"/>
        </w:rPr>
        <w:t xml:space="preserve">.2015 – </w:t>
      </w:r>
      <w:proofErr w:type="spellStart"/>
      <w:r w:rsidRPr="00ED4BB1">
        <w:rPr>
          <w:rFonts w:ascii="Times New Roman" w:eastAsia="Times New Roman" w:hAnsi="Times New Roman"/>
          <w:bCs/>
          <w:sz w:val="24"/>
          <w:szCs w:val="24"/>
        </w:rPr>
        <w:t>pentru</w:t>
      </w:r>
      <w:proofErr w:type="spellEnd"/>
      <w:r w:rsidRPr="00ED4BB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bCs/>
          <w:sz w:val="24"/>
          <w:szCs w:val="24"/>
        </w:rPr>
        <w:t>modificarea</w:t>
      </w:r>
      <w:proofErr w:type="spellEnd"/>
      <w:r w:rsidRPr="00ED4BB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bCs/>
          <w:sz w:val="24"/>
          <w:szCs w:val="24"/>
        </w:rPr>
        <w:t>anexelor</w:t>
      </w:r>
      <w:proofErr w:type="spellEnd"/>
      <w:r w:rsidRPr="00ED4BB1">
        <w:rPr>
          <w:rFonts w:ascii="Times New Roman" w:eastAsia="Times New Roman" w:hAnsi="Times New Roman"/>
          <w:bCs/>
          <w:sz w:val="24"/>
          <w:szCs w:val="24"/>
        </w:rPr>
        <w:t xml:space="preserve"> 2 </w:t>
      </w:r>
      <w:proofErr w:type="spellStart"/>
      <w:r w:rsidRPr="00ED4BB1">
        <w:rPr>
          <w:rFonts w:ascii="Times New Roman" w:eastAsia="Times New Roman" w:hAnsi="Times New Roman"/>
          <w:bCs/>
          <w:sz w:val="24"/>
          <w:szCs w:val="24"/>
        </w:rPr>
        <w:t>și</w:t>
      </w:r>
      <w:proofErr w:type="spellEnd"/>
      <w:r w:rsidRPr="00ED4BB1">
        <w:rPr>
          <w:rFonts w:ascii="Times New Roman" w:eastAsia="Times New Roman" w:hAnsi="Times New Roman"/>
          <w:bCs/>
          <w:sz w:val="24"/>
          <w:szCs w:val="24"/>
        </w:rPr>
        <w:t xml:space="preserve"> 15 </w:t>
      </w:r>
      <w:proofErr w:type="spellStart"/>
      <w:r w:rsidRPr="00ED4BB1">
        <w:rPr>
          <w:rFonts w:ascii="Times New Roman" w:eastAsia="Times New Roman" w:hAnsi="Times New Roman"/>
          <w:bCs/>
          <w:sz w:val="24"/>
          <w:szCs w:val="24"/>
        </w:rPr>
        <w:t>și</w:t>
      </w:r>
      <w:proofErr w:type="spellEnd"/>
      <w:r w:rsidRPr="00ED4BB1">
        <w:rPr>
          <w:rFonts w:ascii="Times New Roman" w:eastAsia="Times New Roman" w:hAnsi="Times New Roman"/>
          <w:bCs/>
          <w:sz w:val="24"/>
          <w:szCs w:val="24"/>
        </w:rPr>
        <w:t xml:space="preserve"> a </w:t>
      </w:r>
      <w:proofErr w:type="spellStart"/>
      <w:r w:rsidRPr="00ED4BB1">
        <w:rPr>
          <w:rFonts w:ascii="Times New Roman" w:eastAsia="Times New Roman" w:hAnsi="Times New Roman"/>
          <w:bCs/>
          <w:sz w:val="24"/>
          <w:szCs w:val="24"/>
        </w:rPr>
        <w:t>ghidului</w:t>
      </w:r>
      <w:proofErr w:type="spellEnd"/>
      <w:r w:rsidRPr="00ED4BB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bCs/>
          <w:sz w:val="24"/>
          <w:szCs w:val="24"/>
        </w:rPr>
        <w:t>privind</w:t>
      </w:r>
      <w:proofErr w:type="spellEnd"/>
      <w:r w:rsidRPr="00ED4BB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bCs/>
          <w:sz w:val="24"/>
          <w:szCs w:val="24"/>
        </w:rPr>
        <w:t>evaluarea</w:t>
      </w:r>
      <w:proofErr w:type="spellEnd"/>
      <w:r w:rsidRPr="00ED4BB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bCs/>
          <w:sz w:val="24"/>
          <w:szCs w:val="24"/>
        </w:rPr>
        <w:t>standardizată</w:t>
      </w:r>
      <w:proofErr w:type="spellEnd"/>
      <w:r w:rsidRPr="00ED4BB1">
        <w:rPr>
          <w:rFonts w:ascii="Times New Roman" w:eastAsia="Times New Roman" w:hAnsi="Times New Roman"/>
          <w:bCs/>
          <w:sz w:val="24"/>
          <w:szCs w:val="24"/>
        </w:rPr>
        <w:t xml:space="preserve"> a </w:t>
      </w:r>
      <w:proofErr w:type="spellStart"/>
      <w:r w:rsidRPr="00ED4BB1">
        <w:rPr>
          <w:rFonts w:ascii="Times New Roman" w:eastAsia="Times New Roman" w:hAnsi="Times New Roman"/>
          <w:bCs/>
          <w:sz w:val="24"/>
          <w:szCs w:val="24"/>
        </w:rPr>
        <w:t>riscurilor</w:t>
      </w:r>
      <w:proofErr w:type="spellEnd"/>
      <w:r w:rsidRPr="00ED4BB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bCs/>
          <w:sz w:val="24"/>
          <w:szCs w:val="24"/>
        </w:rPr>
        <w:t>pentru</w:t>
      </w:r>
      <w:proofErr w:type="spellEnd"/>
      <w:r w:rsidRPr="00ED4BB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bCs/>
          <w:sz w:val="24"/>
          <w:szCs w:val="24"/>
        </w:rPr>
        <w:t>identificarea</w:t>
      </w:r>
      <w:proofErr w:type="spellEnd"/>
      <w:r w:rsidRPr="00ED4BB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bCs/>
          <w:sz w:val="24"/>
          <w:szCs w:val="24"/>
        </w:rPr>
        <w:t>bunelor</w:t>
      </w:r>
      <w:proofErr w:type="spellEnd"/>
      <w:r w:rsidRPr="00ED4BB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bCs/>
          <w:sz w:val="24"/>
          <w:szCs w:val="24"/>
        </w:rPr>
        <w:t>practici</w:t>
      </w:r>
      <w:proofErr w:type="spellEnd"/>
      <w:r w:rsidRPr="00ED4BB1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Pr="00ED4BB1">
        <w:rPr>
          <w:rFonts w:ascii="Times New Roman" w:eastAsia="Times New Roman" w:hAnsi="Times New Roman"/>
          <w:bCs/>
          <w:sz w:val="24"/>
          <w:szCs w:val="24"/>
        </w:rPr>
        <w:t>fabricație</w:t>
      </w:r>
      <w:proofErr w:type="spellEnd"/>
      <w:r w:rsidRPr="00ED4BB1">
        <w:rPr>
          <w:rFonts w:ascii="Times New Roman" w:eastAsia="Times New Roman" w:hAnsi="Times New Roman"/>
          <w:bCs/>
          <w:sz w:val="24"/>
          <w:szCs w:val="24"/>
        </w:rPr>
        <w:t>.</w:t>
      </w:r>
      <w:r w:rsidRPr="00ED4BB1">
        <w:rPr>
          <w:rFonts w:ascii="Times New Roman" w:eastAsia="Times New Roman" w:hAnsi="Times New Roman"/>
          <w:bCs/>
          <w:sz w:val="24"/>
          <w:szCs w:val="24"/>
        </w:rPr>
        <w:br/>
      </w:r>
      <w:proofErr w:type="spellStart"/>
      <w:r w:rsidRPr="00ED4BB1">
        <w:rPr>
          <w:rFonts w:ascii="Times New Roman" w:eastAsia="Times New Roman" w:hAnsi="Times New Roman"/>
          <w:bCs/>
          <w:sz w:val="24"/>
          <w:szCs w:val="24"/>
        </w:rPr>
        <w:t>publicat</w:t>
      </w:r>
      <w:proofErr w:type="spellEnd"/>
      <w:r w:rsidRPr="00ED4BB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bCs/>
          <w:sz w:val="24"/>
          <w:szCs w:val="24"/>
        </w:rPr>
        <w:t>în</w:t>
      </w:r>
      <w:proofErr w:type="spellEnd"/>
      <w:r w:rsidRPr="00ED4BB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bCs/>
          <w:sz w:val="24"/>
          <w:szCs w:val="24"/>
        </w:rPr>
        <w:t>Monitorul</w:t>
      </w:r>
      <w:proofErr w:type="spellEnd"/>
      <w:r w:rsidRPr="00ED4BB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bCs/>
          <w:sz w:val="24"/>
          <w:szCs w:val="24"/>
        </w:rPr>
        <w:t>Oficial</w:t>
      </w:r>
      <w:proofErr w:type="spellEnd"/>
      <w:r w:rsidRPr="00ED4BB1">
        <w:rPr>
          <w:rFonts w:ascii="Times New Roman" w:eastAsia="Times New Roman" w:hAnsi="Times New Roman"/>
          <w:bCs/>
          <w:sz w:val="24"/>
          <w:szCs w:val="24"/>
        </w:rPr>
        <w:t xml:space="preserve"> nr. 828 din 5 </w:t>
      </w:r>
      <w:proofErr w:type="spellStart"/>
      <w:r w:rsidRPr="00ED4BB1">
        <w:rPr>
          <w:rFonts w:ascii="Times New Roman" w:eastAsia="Times New Roman" w:hAnsi="Times New Roman"/>
          <w:bCs/>
          <w:sz w:val="24"/>
          <w:szCs w:val="24"/>
        </w:rPr>
        <w:t>noiembrie</w:t>
      </w:r>
      <w:proofErr w:type="spellEnd"/>
      <w:r w:rsidRPr="00ED4BB1">
        <w:rPr>
          <w:rFonts w:ascii="Times New Roman" w:eastAsia="Times New Roman" w:hAnsi="Times New Roman"/>
          <w:bCs/>
          <w:sz w:val="24"/>
          <w:szCs w:val="24"/>
        </w:rPr>
        <w:t xml:space="preserve"> 2015</w:t>
      </w:r>
    </w:p>
    <w:p w14:paraId="6BB5C1D7" w14:textId="6D4820BF" w:rsidR="002D778B" w:rsidRPr="00ED4BB1" w:rsidRDefault="002D778B" w:rsidP="002D778B">
      <w:pPr>
        <w:pStyle w:val="ListParagraph"/>
        <w:numPr>
          <w:ilvl w:val="0"/>
          <w:numId w:val="9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ED4BB1">
        <w:rPr>
          <w:rFonts w:ascii="Times New Roman" w:eastAsia="Times New Roman" w:hAnsi="Times New Roman"/>
          <w:bCs/>
          <w:sz w:val="24"/>
          <w:szCs w:val="24"/>
        </w:rPr>
        <w:t>Hotărârea</w:t>
      </w:r>
      <w:proofErr w:type="spellEnd"/>
      <w:r w:rsidRPr="00ED4BB1">
        <w:rPr>
          <w:rFonts w:ascii="Times New Roman" w:eastAsia="Times New Roman" w:hAnsi="Times New Roman"/>
          <w:bCs/>
          <w:sz w:val="24"/>
          <w:szCs w:val="24"/>
        </w:rPr>
        <w:t xml:space="preserve"> Nr. 17/26.02.2015 </w:t>
      </w:r>
      <w:r w:rsidRPr="00ED4BB1">
        <w:rPr>
          <w:rFonts w:ascii="Times New Roman" w:eastAsia="Times New Roman" w:hAnsi="Times New Roman"/>
          <w:sz w:val="24"/>
          <w:szCs w:val="24"/>
        </w:rPr>
        <w:t xml:space="preserve">-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adoptarea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Procedurii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coordonarea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inspecţiilor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bună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practică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fabricaţie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(BPF)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efectuate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produsele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autorizate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centralizat</w:t>
      </w:r>
      <w:proofErr w:type="spellEnd"/>
    </w:p>
    <w:p w14:paraId="36DA53F6" w14:textId="031D2239" w:rsidR="002D778B" w:rsidRPr="00ED4BB1" w:rsidRDefault="002D778B" w:rsidP="002D778B">
      <w:pPr>
        <w:pStyle w:val="ListParagraph"/>
        <w:numPr>
          <w:ilvl w:val="0"/>
          <w:numId w:val="9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ED4BB1">
        <w:rPr>
          <w:rFonts w:ascii="Times New Roman" w:eastAsia="Times New Roman" w:hAnsi="Times New Roman"/>
          <w:bCs/>
          <w:sz w:val="24"/>
          <w:szCs w:val="24"/>
        </w:rPr>
        <w:t>Anexă</w:t>
      </w:r>
      <w:proofErr w:type="spellEnd"/>
      <w:r w:rsidRPr="00ED4BB1">
        <w:rPr>
          <w:rFonts w:ascii="Times New Roman" w:eastAsia="Times New Roman" w:hAnsi="Times New Roman"/>
          <w:bCs/>
          <w:sz w:val="24"/>
          <w:szCs w:val="24"/>
        </w:rPr>
        <w:t xml:space="preserve"> la HCS nr. 17/26.02.2015</w:t>
      </w:r>
      <w:r w:rsidRPr="00ED4BB1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</w:t>
      </w:r>
      <w:r w:rsidRPr="00ED4BB1">
        <w:rPr>
          <w:rFonts w:ascii="Times New Roman" w:eastAsia="Times New Roman" w:hAnsi="Times New Roman"/>
          <w:bCs/>
          <w:sz w:val="24"/>
          <w:szCs w:val="24"/>
        </w:rPr>
        <w:t xml:space="preserve">- </w:t>
      </w:r>
      <w:r w:rsidRPr="00ED4BB1">
        <w:rPr>
          <w:rFonts w:ascii="Times New Roman" w:eastAsia="Times New Roman" w:hAnsi="Times New Roman"/>
          <w:sz w:val="24"/>
          <w:szCs w:val="24"/>
        </w:rPr>
        <w:t xml:space="preserve">PROCEDURĂ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coordonarea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inspecţiilor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bună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practică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fabricaţie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(BPF)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efectuate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produsele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autorizate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centralizat</w:t>
      </w:r>
      <w:proofErr w:type="spellEnd"/>
    </w:p>
    <w:p w14:paraId="70D3CBC5" w14:textId="0FB6884D" w:rsidR="002D778B" w:rsidRPr="00ED4BB1" w:rsidRDefault="002D778B" w:rsidP="002D778B">
      <w:pPr>
        <w:pStyle w:val="ListParagraph"/>
        <w:numPr>
          <w:ilvl w:val="0"/>
          <w:numId w:val="9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ED4BB1">
        <w:rPr>
          <w:rFonts w:ascii="Times New Roman" w:eastAsia="Times New Roman" w:hAnsi="Times New Roman"/>
          <w:bCs/>
          <w:sz w:val="24"/>
          <w:szCs w:val="24"/>
        </w:rPr>
        <w:t>Hotărârea</w:t>
      </w:r>
      <w:proofErr w:type="spellEnd"/>
      <w:r w:rsidRPr="00ED4BB1">
        <w:rPr>
          <w:rFonts w:ascii="Times New Roman" w:eastAsia="Times New Roman" w:hAnsi="Times New Roman"/>
          <w:bCs/>
          <w:sz w:val="24"/>
          <w:szCs w:val="24"/>
        </w:rPr>
        <w:t xml:space="preserve"> Nr. 16/26.02.2015 -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adoptarea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Formatului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solicitare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referitor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schimbul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informaţii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între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autorităţi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competente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din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Spaţiul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Economic European cu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privire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deţinătorii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autorizaţii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punere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pe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piaţă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deţinătorii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autorizaţii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fabricaţie</w:t>
      </w:r>
      <w:proofErr w:type="spellEnd"/>
    </w:p>
    <w:p w14:paraId="083D48BE" w14:textId="32FD13AA" w:rsidR="002D778B" w:rsidRPr="00F3540E" w:rsidRDefault="002D778B" w:rsidP="002D778B">
      <w:pPr>
        <w:pStyle w:val="ListParagraph"/>
        <w:numPr>
          <w:ilvl w:val="0"/>
          <w:numId w:val="9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Ordin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MAI Nr. 163 din 28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februarie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2007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aprobarea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Normelor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generale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apărare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împotriva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incendiilor</w:t>
      </w:r>
      <w:proofErr w:type="spellEnd"/>
    </w:p>
    <w:p w14:paraId="31E82851" w14:textId="77777777" w:rsidR="00F3540E" w:rsidRPr="00F3540E" w:rsidRDefault="00F3540E" w:rsidP="00F3540E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14:paraId="321C6463" w14:textId="1E4E22F6" w:rsidR="002D778B" w:rsidRPr="00ED4BB1" w:rsidRDefault="002D778B" w:rsidP="002D778B">
      <w:pPr>
        <w:pStyle w:val="ListParagraph"/>
        <w:numPr>
          <w:ilvl w:val="0"/>
          <w:numId w:val="9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D4BB1">
        <w:rPr>
          <w:rFonts w:ascii="Times New Roman" w:eastAsia="Times New Roman" w:hAnsi="Times New Roman"/>
          <w:bCs/>
          <w:sz w:val="24"/>
          <w:szCs w:val="24"/>
          <w:lang w:val="vi-VN"/>
        </w:rPr>
        <w:t>Ordinul</w:t>
      </w:r>
      <w:r w:rsidRPr="00ED4BB1">
        <w:rPr>
          <w:rFonts w:ascii="Times New Roman" w:eastAsia="Times New Roman" w:hAnsi="Times New Roman"/>
          <w:bCs/>
          <w:sz w:val="24"/>
          <w:szCs w:val="24"/>
        </w:rPr>
        <w:t xml:space="preserve"> MS </w:t>
      </w:r>
      <w:r w:rsidRPr="00ED4BB1">
        <w:rPr>
          <w:rFonts w:ascii="Times New Roman" w:eastAsia="Times New Roman" w:hAnsi="Times New Roman"/>
          <w:bCs/>
          <w:sz w:val="24"/>
          <w:szCs w:val="24"/>
          <w:lang w:val="vi-VN"/>
        </w:rPr>
        <w:t>nr. 131/2016</w:t>
      </w:r>
      <w:r w:rsidRPr="00ED4BB1">
        <w:rPr>
          <w:rFonts w:ascii="Times New Roman" w:eastAsia="Times New Roman" w:hAnsi="Times New Roman"/>
          <w:bCs/>
          <w:sz w:val="24"/>
          <w:szCs w:val="24"/>
        </w:rPr>
        <w:t xml:space="preserve"> - </w:t>
      </w:r>
      <w:r w:rsidRPr="00ED4BB1">
        <w:rPr>
          <w:rFonts w:ascii="Times New Roman" w:eastAsia="Times New Roman" w:hAnsi="Times New Roman"/>
          <w:bCs/>
          <w:sz w:val="24"/>
          <w:szCs w:val="24"/>
          <w:lang w:val="vi-VN"/>
        </w:rPr>
        <w:t xml:space="preserve">autorizarea unităţilor de distribuţie angro de medicamente de uz uman </w:t>
      </w:r>
      <w:r w:rsidRPr="00ED4BB1">
        <w:rPr>
          <w:rFonts w:ascii="Times New Roman" w:eastAsia="Times New Roman" w:hAnsi="Times New Roman"/>
          <w:bCs/>
          <w:sz w:val="24"/>
          <w:szCs w:val="24"/>
        </w:rPr>
        <w:t>- M</w:t>
      </w:r>
      <w:r w:rsidRPr="00ED4BB1">
        <w:rPr>
          <w:rFonts w:ascii="Times New Roman" w:eastAsia="Times New Roman" w:hAnsi="Times New Roman"/>
          <w:bCs/>
          <w:sz w:val="24"/>
          <w:szCs w:val="24"/>
          <w:lang w:val="vi-VN"/>
        </w:rPr>
        <w:t>O, P I nr. 108 din 11 februarie 2016</w:t>
      </w:r>
    </w:p>
    <w:p w14:paraId="0643E8C2" w14:textId="4C602CF3" w:rsidR="002D778B" w:rsidRPr="00ED4BB1" w:rsidRDefault="002D778B" w:rsidP="002D778B">
      <w:pPr>
        <w:pStyle w:val="ListParagraph"/>
        <w:numPr>
          <w:ilvl w:val="0"/>
          <w:numId w:val="9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ED4BB1">
        <w:rPr>
          <w:rFonts w:ascii="Times New Roman" w:eastAsia="Times New Roman" w:hAnsi="Times New Roman"/>
          <w:bCs/>
          <w:sz w:val="24"/>
          <w:szCs w:val="24"/>
        </w:rPr>
        <w:t>Ghid</w:t>
      </w:r>
      <w:proofErr w:type="spellEnd"/>
      <w:r w:rsidRPr="00ED4BB1">
        <w:rPr>
          <w:rFonts w:ascii="Times New Roman" w:eastAsia="Times New Roman" w:hAnsi="Times New Roman"/>
          <w:bCs/>
          <w:sz w:val="24"/>
          <w:szCs w:val="24"/>
        </w:rPr>
        <w:t xml:space="preserve"> din 17 </w:t>
      </w:r>
      <w:proofErr w:type="spellStart"/>
      <w:r w:rsidRPr="00ED4BB1">
        <w:rPr>
          <w:rFonts w:ascii="Times New Roman" w:eastAsia="Times New Roman" w:hAnsi="Times New Roman"/>
          <w:bCs/>
          <w:sz w:val="24"/>
          <w:szCs w:val="24"/>
        </w:rPr>
        <w:t>iunie</w:t>
      </w:r>
      <w:proofErr w:type="spellEnd"/>
      <w:r w:rsidRPr="00ED4BB1">
        <w:rPr>
          <w:rFonts w:ascii="Times New Roman" w:eastAsia="Times New Roman" w:hAnsi="Times New Roman"/>
          <w:bCs/>
          <w:sz w:val="24"/>
          <w:szCs w:val="24"/>
        </w:rPr>
        <w:t xml:space="preserve"> 2015 </w:t>
      </w:r>
      <w:proofErr w:type="spellStart"/>
      <w:r w:rsidRPr="00ED4BB1">
        <w:rPr>
          <w:rFonts w:ascii="Times New Roman" w:eastAsia="Times New Roman" w:hAnsi="Times New Roman"/>
          <w:bCs/>
          <w:sz w:val="24"/>
          <w:szCs w:val="24"/>
        </w:rPr>
        <w:t>privind</w:t>
      </w:r>
      <w:proofErr w:type="spellEnd"/>
      <w:r w:rsidRPr="00ED4BB1">
        <w:rPr>
          <w:rFonts w:ascii="Times New Roman" w:eastAsia="Times New Roman" w:hAnsi="Times New Roman"/>
          <w:bCs/>
          <w:sz w:val="24"/>
          <w:szCs w:val="24"/>
        </w:rPr>
        <w:t xml:space="preserve"> buna </w:t>
      </w:r>
      <w:proofErr w:type="spellStart"/>
      <w:r w:rsidRPr="00ED4BB1">
        <w:rPr>
          <w:rFonts w:ascii="Times New Roman" w:eastAsia="Times New Roman" w:hAnsi="Times New Roman"/>
          <w:bCs/>
          <w:sz w:val="24"/>
          <w:szCs w:val="24"/>
        </w:rPr>
        <w:t>practică</w:t>
      </w:r>
      <w:proofErr w:type="spellEnd"/>
      <w:r w:rsidRPr="00ED4BB1">
        <w:rPr>
          <w:rFonts w:ascii="Times New Roman" w:eastAsia="Times New Roman" w:hAnsi="Times New Roman"/>
          <w:bCs/>
          <w:sz w:val="24"/>
          <w:szCs w:val="24"/>
        </w:rPr>
        <w:t xml:space="preserve"> de </w:t>
      </w:r>
      <w:proofErr w:type="spellStart"/>
      <w:r w:rsidRPr="00ED4BB1">
        <w:rPr>
          <w:rFonts w:ascii="Times New Roman" w:eastAsia="Times New Roman" w:hAnsi="Times New Roman"/>
          <w:bCs/>
          <w:sz w:val="24"/>
          <w:szCs w:val="24"/>
        </w:rPr>
        <w:t>distribuţie</w:t>
      </w:r>
      <w:proofErr w:type="spellEnd"/>
      <w:r w:rsidRPr="00ED4BB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bCs/>
          <w:sz w:val="24"/>
          <w:szCs w:val="24"/>
        </w:rPr>
        <w:t>angro</w:t>
      </w:r>
      <w:proofErr w:type="spellEnd"/>
      <w:r w:rsidRPr="00ED4BB1">
        <w:rPr>
          <w:rFonts w:ascii="Times New Roman" w:eastAsia="Times New Roman" w:hAnsi="Times New Roman"/>
          <w:bCs/>
          <w:sz w:val="24"/>
          <w:szCs w:val="24"/>
        </w:rPr>
        <w:t xml:space="preserve"> a </w:t>
      </w:r>
      <w:proofErr w:type="spellStart"/>
      <w:r w:rsidRPr="00ED4BB1">
        <w:rPr>
          <w:rFonts w:ascii="Times New Roman" w:eastAsia="Times New Roman" w:hAnsi="Times New Roman"/>
          <w:bCs/>
          <w:sz w:val="24"/>
          <w:szCs w:val="24"/>
        </w:rPr>
        <w:t>medicamentelor</w:t>
      </w:r>
      <w:proofErr w:type="spellEnd"/>
      <w:r w:rsidRPr="00ED4BB1">
        <w:rPr>
          <w:rFonts w:ascii="Times New Roman" w:eastAsia="Times New Roman" w:hAnsi="Times New Roman"/>
          <w:bCs/>
          <w:sz w:val="24"/>
          <w:szCs w:val="24"/>
        </w:rPr>
        <w:br/>
      </w:r>
      <w:hyperlink r:id="rId9" w:history="1">
        <w:r w:rsidRPr="00ED4BB1">
          <w:rPr>
            <w:rFonts w:ascii="Times New Roman" w:eastAsia="Times New Roman" w:hAnsi="Times New Roman"/>
            <w:sz w:val="24"/>
            <w:szCs w:val="24"/>
          </w:rPr>
          <w:t xml:space="preserve">M.O. nr. 483 din 2 </w:t>
        </w:r>
        <w:proofErr w:type="spellStart"/>
        <w:r w:rsidRPr="00ED4BB1">
          <w:rPr>
            <w:rFonts w:ascii="Times New Roman" w:eastAsia="Times New Roman" w:hAnsi="Times New Roman"/>
            <w:sz w:val="24"/>
            <w:szCs w:val="24"/>
          </w:rPr>
          <w:t>iulie</w:t>
        </w:r>
        <w:proofErr w:type="spellEnd"/>
        <w:r w:rsidRPr="00ED4BB1">
          <w:rPr>
            <w:rFonts w:ascii="Times New Roman" w:eastAsia="Times New Roman" w:hAnsi="Times New Roman"/>
            <w:sz w:val="24"/>
            <w:szCs w:val="24"/>
          </w:rPr>
          <w:t xml:space="preserve"> 2015</w:t>
        </w:r>
      </w:hyperlink>
    </w:p>
    <w:p w14:paraId="76451631" w14:textId="77777777" w:rsidR="002D778B" w:rsidRPr="00ED4BB1" w:rsidRDefault="002D778B" w:rsidP="002D778B">
      <w:pPr>
        <w:pStyle w:val="ListParagraph"/>
        <w:numPr>
          <w:ilvl w:val="0"/>
          <w:numId w:val="9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339 / 2005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regimul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juridic al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plantelor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substanțelor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preparatelor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stupefiante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psihotrope</w:t>
      </w:r>
      <w:proofErr w:type="spellEnd"/>
    </w:p>
    <w:p w14:paraId="53714D16" w14:textId="77777777" w:rsidR="002D778B" w:rsidRPr="00ED4BB1" w:rsidRDefault="002D778B" w:rsidP="002D778B">
      <w:pPr>
        <w:pStyle w:val="ListParagraph"/>
        <w:numPr>
          <w:ilvl w:val="0"/>
          <w:numId w:val="9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D4BB1">
        <w:rPr>
          <w:rFonts w:ascii="Times New Roman" w:eastAsia="Times New Roman" w:hAnsi="Times New Roman"/>
          <w:sz w:val="24"/>
          <w:szCs w:val="24"/>
        </w:rPr>
        <w:t xml:space="preserve">HGR nr. 1915 / 2006 –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Norme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metodologice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aplicae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legii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339 / 2005</w:t>
      </w:r>
    </w:p>
    <w:p w14:paraId="3CA7256D" w14:textId="56C631BF" w:rsidR="002D778B" w:rsidRPr="00ED4BB1" w:rsidRDefault="00F90E77" w:rsidP="002D778B">
      <w:pPr>
        <w:pStyle w:val="ListParagraph"/>
        <w:numPr>
          <w:ilvl w:val="0"/>
          <w:numId w:val="9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hyperlink r:id="rId10" w:history="1">
        <w:proofErr w:type="spellStart"/>
        <w:r w:rsidR="002D778B" w:rsidRPr="00CA0F21">
          <w:rPr>
            <w:rStyle w:val="Hyperlink"/>
            <w:rFonts w:ascii="Times New Roman" w:hAnsi="Times New Roman"/>
            <w:bCs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Leg</w:t>
        </w:r>
        <w:r w:rsidR="00CA0F21">
          <w:rPr>
            <w:rStyle w:val="Hyperlink"/>
            <w:rFonts w:ascii="Times New Roman" w:hAnsi="Times New Roman"/>
            <w:bCs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ea</w:t>
        </w:r>
        <w:proofErr w:type="spellEnd"/>
        <w:r w:rsidR="002D778B" w:rsidRPr="00CA0F21">
          <w:rPr>
            <w:rStyle w:val="Hyperlink"/>
            <w:rFonts w:ascii="Times New Roman" w:hAnsi="Times New Roman"/>
            <w:bCs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 xml:space="preserve"> nr. 194/2011</w:t>
        </w:r>
      </w:hyperlink>
      <w:r w:rsidR="00CA0F2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2D778B" w:rsidRPr="00ED4BB1">
        <w:rPr>
          <w:rFonts w:ascii="Times New Roman" w:hAnsi="Times New Roman"/>
          <w:bCs/>
          <w:sz w:val="24"/>
          <w:szCs w:val="24"/>
          <w:shd w:val="clear" w:color="auto" w:fill="FFFFFF"/>
        </w:rPr>
        <w:t>privind</w:t>
      </w:r>
      <w:proofErr w:type="spellEnd"/>
      <w:r w:rsidR="002D778B" w:rsidRPr="00ED4BB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2D778B" w:rsidRPr="00ED4BB1">
        <w:rPr>
          <w:rFonts w:ascii="Times New Roman" w:hAnsi="Times New Roman"/>
          <w:bCs/>
          <w:sz w:val="24"/>
          <w:szCs w:val="24"/>
          <w:shd w:val="clear" w:color="auto" w:fill="FFFFFF"/>
        </w:rPr>
        <w:t>combaterea</w:t>
      </w:r>
      <w:proofErr w:type="spellEnd"/>
      <w:r w:rsidR="002D778B" w:rsidRPr="00ED4BB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2D778B" w:rsidRPr="00ED4BB1">
        <w:rPr>
          <w:rFonts w:ascii="Times New Roman" w:hAnsi="Times New Roman"/>
          <w:bCs/>
          <w:sz w:val="24"/>
          <w:szCs w:val="24"/>
          <w:shd w:val="clear" w:color="auto" w:fill="FFFFFF"/>
        </w:rPr>
        <w:t>operațiunilor</w:t>
      </w:r>
      <w:proofErr w:type="spellEnd"/>
      <w:r w:rsidR="002D778B" w:rsidRPr="00ED4BB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cu </w:t>
      </w:r>
      <w:proofErr w:type="spellStart"/>
      <w:r w:rsidR="002D778B" w:rsidRPr="00ED4BB1">
        <w:rPr>
          <w:rFonts w:ascii="Times New Roman" w:hAnsi="Times New Roman"/>
          <w:bCs/>
          <w:sz w:val="24"/>
          <w:szCs w:val="24"/>
          <w:shd w:val="clear" w:color="auto" w:fill="FFFFFF"/>
        </w:rPr>
        <w:t>produse</w:t>
      </w:r>
      <w:proofErr w:type="spellEnd"/>
      <w:r w:rsidR="002D778B" w:rsidRPr="00ED4BB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2D778B" w:rsidRPr="00ED4BB1">
        <w:rPr>
          <w:rFonts w:ascii="Times New Roman" w:hAnsi="Times New Roman"/>
          <w:bCs/>
          <w:sz w:val="24"/>
          <w:szCs w:val="24"/>
          <w:shd w:val="clear" w:color="auto" w:fill="FFFFFF"/>
        </w:rPr>
        <w:t>susceptibile</w:t>
      </w:r>
      <w:proofErr w:type="spellEnd"/>
      <w:r w:rsidR="002D778B" w:rsidRPr="00ED4BB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de </w:t>
      </w:r>
      <w:proofErr w:type="gramStart"/>
      <w:r w:rsidR="002D778B" w:rsidRPr="00ED4BB1">
        <w:rPr>
          <w:rFonts w:ascii="Times New Roman" w:hAnsi="Times New Roman"/>
          <w:bCs/>
          <w:sz w:val="24"/>
          <w:szCs w:val="24"/>
          <w:shd w:val="clear" w:color="auto" w:fill="FFFFFF"/>
        </w:rPr>
        <w:t>a</w:t>
      </w:r>
      <w:proofErr w:type="gramEnd"/>
      <w:r w:rsidR="002D778B" w:rsidRPr="00ED4BB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2D778B" w:rsidRPr="00ED4BB1">
        <w:rPr>
          <w:rFonts w:ascii="Times New Roman" w:hAnsi="Times New Roman"/>
          <w:bCs/>
          <w:sz w:val="24"/>
          <w:szCs w:val="24"/>
          <w:shd w:val="clear" w:color="auto" w:fill="FFFFFF"/>
        </w:rPr>
        <w:t>avea</w:t>
      </w:r>
      <w:proofErr w:type="spellEnd"/>
      <w:r w:rsidR="002D778B" w:rsidRPr="00ED4BB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2D778B" w:rsidRPr="00ED4BB1">
        <w:rPr>
          <w:rFonts w:ascii="Times New Roman" w:hAnsi="Times New Roman"/>
          <w:bCs/>
          <w:sz w:val="24"/>
          <w:szCs w:val="24"/>
          <w:shd w:val="clear" w:color="auto" w:fill="FFFFFF"/>
        </w:rPr>
        <w:t>efecte</w:t>
      </w:r>
      <w:proofErr w:type="spellEnd"/>
      <w:r w:rsidR="002D778B" w:rsidRPr="00ED4BB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2D778B" w:rsidRPr="00ED4BB1">
        <w:rPr>
          <w:rFonts w:ascii="Times New Roman" w:hAnsi="Times New Roman"/>
          <w:bCs/>
          <w:sz w:val="24"/>
          <w:szCs w:val="24"/>
          <w:shd w:val="clear" w:color="auto" w:fill="FFFFFF"/>
        </w:rPr>
        <w:t>psihoactive</w:t>
      </w:r>
      <w:proofErr w:type="spellEnd"/>
      <w:r w:rsidR="002D778B" w:rsidRPr="00ED4BB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="002D778B" w:rsidRPr="00ED4BB1">
        <w:rPr>
          <w:rFonts w:ascii="Times New Roman" w:hAnsi="Times New Roman"/>
          <w:bCs/>
          <w:sz w:val="24"/>
          <w:szCs w:val="24"/>
          <w:shd w:val="clear" w:color="auto" w:fill="FFFFFF"/>
        </w:rPr>
        <w:t>altele</w:t>
      </w:r>
      <w:proofErr w:type="spellEnd"/>
      <w:r w:rsidR="002D778B" w:rsidRPr="00ED4BB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2D778B" w:rsidRPr="00ED4BB1">
        <w:rPr>
          <w:rFonts w:ascii="Times New Roman" w:hAnsi="Times New Roman"/>
          <w:bCs/>
          <w:sz w:val="24"/>
          <w:szCs w:val="24"/>
          <w:shd w:val="clear" w:color="auto" w:fill="FFFFFF"/>
        </w:rPr>
        <w:t>decât</w:t>
      </w:r>
      <w:proofErr w:type="spellEnd"/>
      <w:r w:rsidR="002D778B" w:rsidRPr="00ED4BB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2D778B" w:rsidRPr="00ED4BB1">
        <w:rPr>
          <w:rFonts w:ascii="Times New Roman" w:hAnsi="Times New Roman"/>
          <w:bCs/>
          <w:sz w:val="24"/>
          <w:szCs w:val="24"/>
          <w:shd w:val="clear" w:color="auto" w:fill="FFFFFF"/>
        </w:rPr>
        <w:t>cele</w:t>
      </w:r>
      <w:proofErr w:type="spellEnd"/>
      <w:r w:rsidR="002D778B" w:rsidRPr="00ED4BB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2D778B" w:rsidRPr="00ED4BB1">
        <w:rPr>
          <w:rFonts w:ascii="Times New Roman" w:hAnsi="Times New Roman"/>
          <w:bCs/>
          <w:sz w:val="24"/>
          <w:szCs w:val="24"/>
          <w:shd w:val="clear" w:color="auto" w:fill="FFFFFF"/>
        </w:rPr>
        <w:t>prevăzute</w:t>
      </w:r>
      <w:proofErr w:type="spellEnd"/>
      <w:r w:rsidR="002D778B" w:rsidRPr="00ED4BB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de </w:t>
      </w:r>
      <w:proofErr w:type="spellStart"/>
      <w:r w:rsidR="002D778B" w:rsidRPr="00ED4BB1">
        <w:rPr>
          <w:rFonts w:ascii="Times New Roman" w:hAnsi="Times New Roman"/>
          <w:bCs/>
          <w:sz w:val="24"/>
          <w:szCs w:val="24"/>
          <w:shd w:val="clear" w:color="auto" w:fill="FFFFFF"/>
        </w:rPr>
        <w:t>acte</w:t>
      </w:r>
      <w:proofErr w:type="spellEnd"/>
      <w:r w:rsidR="002D778B" w:rsidRPr="00ED4BB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normative </w:t>
      </w:r>
      <w:proofErr w:type="spellStart"/>
      <w:r w:rsidR="002D778B" w:rsidRPr="00ED4BB1">
        <w:rPr>
          <w:rFonts w:ascii="Times New Roman" w:hAnsi="Times New Roman"/>
          <w:bCs/>
          <w:sz w:val="24"/>
          <w:szCs w:val="24"/>
          <w:shd w:val="clear" w:color="auto" w:fill="FFFFFF"/>
        </w:rPr>
        <w:t>în</w:t>
      </w:r>
      <w:proofErr w:type="spellEnd"/>
      <w:r w:rsidR="002D778B" w:rsidRPr="00ED4BB1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2D778B" w:rsidRPr="00ED4BB1">
        <w:rPr>
          <w:rFonts w:ascii="Times New Roman" w:hAnsi="Times New Roman"/>
          <w:bCs/>
          <w:sz w:val="24"/>
          <w:szCs w:val="24"/>
          <w:shd w:val="clear" w:color="auto" w:fill="FFFFFF"/>
        </w:rPr>
        <w:t>vigoare</w:t>
      </w:r>
      <w:proofErr w:type="spellEnd"/>
    </w:p>
    <w:p w14:paraId="735397AB" w14:textId="0C6F3DD6" w:rsidR="002D778B" w:rsidRPr="00ED4BB1" w:rsidRDefault="002D778B" w:rsidP="002D778B">
      <w:pPr>
        <w:pStyle w:val="ListParagraph"/>
        <w:numPr>
          <w:ilvl w:val="0"/>
          <w:numId w:val="9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143 / din 26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iulie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2000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combaterea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traficului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consumului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ilicit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droguri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169 / 2002,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39 / 2003,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552 / 2004,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45/2023)</w:t>
      </w:r>
    </w:p>
    <w:p w14:paraId="68EE697D" w14:textId="77777777" w:rsidR="002D778B" w:rsidRPr="00ED4BB1" w:rsidRDefault="002D778B" w:rsidP="002D778B">
      <w:pPr>
        <w:pStyle w:val="ListParagraph"/>
        <w:numPr>
          <w:ilvl w:val="0"/>
          <w:numId w:val="9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D4BB1">
        <w:rPr>
          <w:rFonts w:ascii="Times New Roman" w:eastAsia="Times New Roman" w:hAnsi="Times New Roman"/>
          <w:sz w:val="24"/>
          <w:szCs w:val="24"/>
        </w:rPr>
        <w:t xml:space="preserve">HG 860 / 2005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aprobarea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Regulamentului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aplicare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dispozițiilor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din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143 / 2000</w:t>
      </w:r>
    </w:p>
    <w:p w14:paraId="1D51CFAE" w14:textId="77777777" w:rsidR="002D778B" w:rsidRPr="00ED4BB1" w:rsidRDefault="002D778B" w:rsidP="002D778B">
      <w:pPr>
        <w:pStyle w:val="ListParagraph"/>
        <w:numPr>
          <w:ilvl w:val="0"/>
          <w:numId w:val="9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D4BB1">
        <w:rPr>
          <w:rFonts w:ascii="Times New Roman" w:eastAsia="Times New Roman" w:hAnsi="Times New Roman"/>
          <w:sz w:val="24"/>
          <w:szCs w:val="24"/>
        </w:rPr>
        <w:t xml:space="preserve">OUG nr. 6 / 2010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interzicerea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substanțelor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etnobotanice</w:t>
      </w:r>
      <w:proofErr w:type="spellEnd"/>
    </w:p>
    <w:p w14:paraId="669915EF" w14:textId="77777777" w:rsidR="002D778B" w:rsidRPr="00ED4BB1" w:rsidRDefault="002D778B" w:rsidP="002D778B">
      <w:pPr>
        <w:pStyle w:val="ListParagraph"/>
        <w:numPr>
          <w:ilvl w:val="0"/>
          <w:numId w:val="9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D4BB1">
        <w:rPr>
          <w:rFonts w:ascii="Times New Roman" w:eastAsia="Times New Roman" w:hAnsi="Times New Roman"/>
          <w:sz w:val="24"/>
          <w:szCs w:val="24"/>
        </w:rPr>
        <w:t xml:space="preserve">OUG nr. 121 / 2006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regimul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juridic al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precursorilor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droguri</w:t>
      </w:r>
      <w:proofErr w:type="spellEnd"/>
    </w:p>
    <w:p w14:paraId="19EB55DB" w14:textId="77777777" w:rsidR="002D778B" w:rsidRPr="00ED4BB1" w:rsidRDefault="002D778B" w:rsidP="002D778B">
      <w:pPr>
        <w:pStyle w:val="ListParagraph"/>
        <w:numPr>
          <w:ilvl w:val="0"/>
          <w:numId w:val="9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186 / 2007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aprobarea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OUG 121 / 2006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regimul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juridic al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precursorilor</w:t>
      </w:r>
      <w:proofErr w:type="spellEnd"/>
      <w:r w:rsidRPr="00ED4BB1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Pr="00ED4BB1">
        <w:rPr>
          <w:rFonts w:ascii="Times New Roman" w:eastAsia="Times New Roman" w:hAnsi="Times New Roman"/>
          <w:sz w:val="24"/>
          <w:szCs w:val="24"/>
        </w:rPr>
        <w:t>droguri</w:t>
      </w:r>
      <w:proofErr w:type="spellEnd"/>
    </w:p>
    <w:p w14:paraId="3008CF2C" w14:textId="25449D92" w:rsidR="00CA0F21" w:rsidRPr="00CA0F21" w:rsidRDefault="00F90E77" w:rsidP="00403118">
      <w:pPr>
        <w:pStyle w:val="ListParagraph"/>
        <w:numPr>
          <w:ilvl w:val="0"/>
          <w:numId w:val="9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hyperlink r:id="rId11" w:anchor="_blank" w:history="1">
        <w:r w:rsidR="002D778B" w:rsidRPr="00CA0F21">
          <w:rPr>
            <w:rFonts w:ascii="Times New Roman" w:eastAsia="Times New Roman" w:hAnsi="Times New Roman"/>
            <w:sz w:val="24"/>
            <w:szCs w:val="24"/>
          </w:rPr>
          <w:t xml:space="preserve">H.G. nr. 358/2008 </w:t>
        </w:r>
        <w:proofErr w:type="spellStart"/>
        <w:r w:rsidR="002D778B" w:rsidRPr="00CA0F21">
          <w:rPr>
            <w:rFonts w:ascii="Times New Roman" w:eastAsia="Times New Roman" w:hAnsi="Times New Roman"/>
            <w:sz w:val="24"/>
            <w:szCs w:val="24"/>
          </w:rPr>
          <w:t>pentru</w:t>
        </w:r>
        <w:proofErr w:type="spellEnd"/>
        <w:r w:rsidR="002D778B" w:rsidRPr="00CA0F21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="002D778B" w:rsidRPr="00CA0F21">
          <w:rPr>
            <w:rFonts w:ascii="Times New Roman" w:eastAsia="Times New Roman" w:hAnsi="Times New Roman"/>
            <w:sz w:val="24"/>
            <w:szCs w:val="24"/>
          </w:rPr>
          <w:t>aprobarea</w:t>
        </w:r>
        <w:proofErr w:type="spellEnd"/>
        <w:r w:rsidR="002D778B" w:rsidRPr="00CA0F21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="002D778B" w:rsidRPr="00CA0F21">
          <w:rPr>
            <w:rFonts w:ascii="Times New Roman" w:eastAsia="Times New Roman" w:hAnsi="Times New Roman"/>
            <w:sz w:val="24"/>
            <w:szCs w:val="24"/>
          </w:rPr>
          <w:t>regulamentului</w:t>
        </w:r>
        <w:proofErr w:type="spellEnd"/>
        <w:r w:rsidR="002D778B" w:rsidRPr="00CA0F21">
          <w:rPr>
            <w:rFonts w:ascii="Times New Roman" w:eastAsia="Times New Roman" w:hAnsi="Times New Roman"/>
            <w:sz w:val="24"/>
            <w:szCs w:val="24"/>
          </w:rPr>
          <w:t xml:space="preserve"> de </w:t>
        </w:r>
        <w:proofErr w:type="spellStart"/>
        <w:r w:rsidR="002D778B" w:rsidRPr="00CA0F21">
          <w:rPr>
            <w:rFonts w:ascii="Times New Roman" w:eastAsia="Times New Roman" w:hAnsi="Times New Roman"/>
            <w:sz w:val="24"/>
            <w:szCs w:val="24"/>
          </w:rPr>
          <w:t>aplicare</w:t>
        </w:r>
        <w:proofErr w:type="spellEnd"/>
        <w:r w:rsidR="002D778B" w:rsidRPr="00CA0F21">
          <w:rPr>
            <w:rFonts w:ascii="Times New Roman" w:eastAsia="Times New Roman" w:hAnsi="Times New Roman"/>
            <w:sz w:val="24"/>
            <w:szCs w:val="24"/>
          </w:rPr>
          <w:t xml:space="preserve"> a O.U.G. nr. 121/2006 </w:t>
        </w:r>
        <w:proofErr w:type="spellStart"/>
        <w:r w:rsidR="002D778B" w:rsidRPr="00CA0F21">
          <w:rPr>
            <w:rFonts w:ascii="Times New Roman" w:eastAsia="Times New Roman" w:hAnsi="Times New Roman"/>
            <w:sz w:val="24"/>
            <w:szCs w:val="24"/>
          </w:rPr>
          <w:t>privind</w:t>
        </w:r>
        <w:proofErr w:type="spellEnd"/>
        <w:r w:rsidR="002D778B" w:rsidRPr="00CA0F21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="002D778B" w:rsidRPr="00CA0F21">
          <w:rPr>
            <w:rFonts w:ascii="Times New Roman" w:eastAsia="Times New Roman" w:hAnsi="Times New Roman"/>
            <w:sz w:val="24"/>
            <w:szCs w:val="24"/>
          </w:rPr>
          <w:t>regimul</w:t>
        </w:r>
        <w:proofErr w:type="spellEnd"/>
        <w:r w:rsidR="002D778B" w:rsidRPr="00CA0F21">
          <w:rPr>
            <w:rFonts w:ascii="Times New Roman" w:eastAsia="Times New Roman" w:hAnsi="Times New Roman"/>
            <w:sz w:val="24"/>
            <w:szCs w:val="24"/>
          </w:rPr>
          <w:t xml:space="preserve"> juridic al </w:t>
        </w:r>
        <w:proofErr w:type="spellStart"/>
        <w:r w:rsidR="002D778B" w:rsidRPr="00CA0F21">
          <w:rPr>
            <w:rFonts w:ascii="Times New Roman" w:eastAsia="Times New Roman" w:hAnsi="Times New Roman"/>
            <w:sz w:val="24"/>
            <w:szCs w:val="24"/>
          </w:rPr>
          <w:t>precursorilor</w:t>
        </w:r>
        <w:proofErr w:type="spellEnd"/>
        <w:r w:rsidR="002D778B" w:rsidRPr="00CA0F21">
          <w:rPr>
            <w:rFonts w:ascii="Times New Roman" w:eastAsia="Times New Roman" w:hAnsi="Times New Roman"/>
            <w:sz w:val="24"/>
            <w:szCs w:val="24"/>
          </w:rPr>
          <w:t xml:space="preserve"> de </w:t>
        </w:r>
        <w:proofErr w:type="spellStart"/>
        <w:r w:rsidR="002D778B" w:rsidRPr="00CA0F21">
          <w:rPr>
            <w:rFonts w:ascii="Times New Roman" w:eastAsia="Times New Roman" w:hAnsi="Times New Roman"/>
            <w:sz w:val="24"/>
            <w:szCs w:val="24"/>
          </w:rPr>
          <w:t>droguri</w:t>
        </w:r>
        <w:proofErr w:type="spellEnd"/>
        <w:r w:rsidR="002D778B" w:rsidRPr="00CA0F21">
          <w:rPr>
            <w:rFonts w:ascii="Times New Roman" w:eastAsia="Times New Roman" w:hAnsi="Times New Roman"/>
            <w:sz w:val="24"/>
            <w:szCs w:val="24"/>
          </w:rPr>
          <w:t xml:space="preserve">, precum </w:t>
        </w:r>
        <w:proofErr w:type="spellStart"/>
        <w:r w:rsidR="002D778B" w:rsidRPr="00CA0F21">
          <w:rPr>
            <w:rFonts w:ascii="Times New Roman" w:eastAsia="Times New Roman" w:hAnsi="Times New Roman"/>
            <w:sz w:val="24"/>
            <w:szCs w:val="24"/>
          </w:rPr>
          <w:t>şi</w:t>
        </w:r>
        <w:proofErr w:type="spellEnd"/>
        <w:r w:rsidR="002D778B" w:rsidRPr="00CA0F21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="002D778B" w:rsidRPr="00CA0F21">
          <w:rPr>
            <w:rFonts w:ascii="Times New Roman" w:eastAsia="Times New Roman" w:hAnsi="Times New Roman"/>
            <w:sz w:val="24"/>
            <w:szCs w:val="24"/>
          </w:rPr>
          <w:t>pentru</w:t>
        </w:r>
        <w:proofErr w:type="spellEnd"/>
        <w:r w:rsidR="002D778B" w:rsidRPr="00CA0F21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="002D778B" w:rsidRPr="00CA0F21">
          <w:rPr>
            <w:rFonts w:ascii="Times New Roman" w:eastAsia="Times New Roman" w:hAnsi="Times New Roman"/>
            <w:sz w:val="24"/>
            <w:szCs w:val="24"/>
          </w:rPr>
          <w:t>modificarea</w:t>
        </w:r>
        <w:proofErr w:type="spellEnd"/>
        <w:r w:rsidR="002D778B" w:rsidRPr="00CA0F21">
          <w:rPr>
            <w:rFonts w:ascii="Times New Roman" w:eastAsia="Times New Roman" w:hAnsi="Times New Roman"/>
            <w:sz w:val="24"/>
            <w:szCs w:val="24"/>
          </w:rPr>
          <w:t xml:space="preserve"> H.G. nr. 1489/2002 </w:t>
        </w:r>
        <w:proofErr w:type="spellStart"/>
        <w:r w:rsidR="002D778B" w:rsidRPr="00CA0F21">
          <w:rPr>
            <w:rFonts w:ascii="Times New Roman" w:eastAsia="Times New Roman" w:hAnsi="Times New Roman"/>
            <w:sz w:val="24"/>
            <w:szCs w:val="24"/>
          </w:rPr>
          <w:t>privind</w:t>
        </w:r>
        <w:proofErr w:type="spellEnd"/>
        <w:r w:rsidR="002D778B" w:rsidRPr="00CA0F21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="002D778B" w:rsidRPr="00CA0F21">
          <w:rPr>
            <w:rFonts w:ascii="Times New Roman" w:eastAsia="Times New Roman" w:hAnsi="Times New Roman"/>
            <w:sz w:val="24"/>
            <w:szCs w:val="24"/>
          </w:rPr>
          <w:t>înfiinţarea</w:t>
        </w:r>
        <w:proofErr w:type="spellEnd"/>
        <w:r w:rsidR="002D778B" w:rsidRPr="00CA0F21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="002D778B" w:rsidRPr="00CA0F21">
          <w:rPr>
            <w:rFonts w:ascii="Times New Roman" w:eastAsia="Times New Roman" w:hAnsi="Times New Roman"/>
            <w:sz w:val="24"/>
            <w:szCs w:val="24"/>
          </w:rPr>
          <w:t>Agenţiei</w:t>
        </w:r>
        <w:proofErr w:type="spellEnd"/>
        <w:r w:rsidR="002D778B" w:rsidRPr="00CA0F21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="002D778B" w:rsidRPr="00CA0F21">
          <w:rPr>
            <w:rFonts w:ascii="Times New Roman" w:eastAsia="Times New Roman" w:hAnsi="Times New Roman"/>
            <w:sz w:val="24"/>
            <w:szCs w:val="24"/>
          </w:rPr>
          <w:t>Naţionale</w:t>
        </w:r>
        <w:proofErr w:type="spellEnd"/>
        <w:r w:rsidR="002D778B" w:rsidRPr="00CA0F21">
          <w:rPr>
            <w:rFonts w:ascii="Times New Roman" w:eastAsia="Times New Roman" w:hAnsi="Times New Roman"/>
            <w:sz w:val="24"/>
            <w:szCs w:val="24"/>
          </w:rPr>
          <w:t xml:space="preserve"> </w:t>
        </w:r>
        <w:proofErr w:type="spellStart"/>
        <w:r w:rsidR="002D778B" w:rsidRPr="00CA0F21">
          <w:rPr>
            <w:rFonts w:ascii="Times New Roman" w:eastAsia="Times New Roman" w:hAnsi="Times New Roman"/>
            <w:sz w:val="24"/>
            <w:szCs w:val="24"/>
          </w:rPr>
          <w:t>Antidro</w:t>
        </w:r>
        <w:r w:rsidR="00CA0F21">
          <w:rPr>
            <w:rFonts w:ascii="Times New Roman" w:eastAsia="Times New Roman" w:hAnsi="Times New Roman"/>
            <w:sz w:val="24"/>
            <w:szCs w:val="24"/>
          </w:rPr>
          <w:t>g</w:t>
        </w:r>
        <w:proofErr w:type="spellEnd"/>
        <w:r w:rsidR="002D778B" w:rsidRPr="00CA0F21">
          <w:rPr>
            <w:rFonts w:ascii="Times New Roman" w:eastAsia="Times New Roman" w:hAnsi="Times New Roman"/>
            <w:sz w:val="24"/>
            <w:szCs w:val="24"/>
          </w:rPr>
          <w:t>.</w:t>
        </w:r>
      </w:hyperlink>
    </w:p>
    <w:p w14:paraId="6A72774B" w14:textId="2EED0ACE" w:rsidR="0091799B" w:rsidRPr="00CA0F21" w:rsidRDefault="00CA0F21" w:rsidP="00403118">
      <w:pPr>
        <w:pStyle w:val="ListParagraph"/>
        <w:numPr>
          <w:ilvl w:val="0"/>
          <w:numId w:val="9"/>
        </w:numPr>
        <w:suppressAutoHyphens/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R</w:t>
      </w:r>
      <w:r w:rsidR="002D778B" w:rsidRPr="00CA0F21">
        <w:rPr>
          <w:rFonts w:ascii="Times New Roman" w:eastAsia="Times New Roman" w:hAnsi="Times New Roman"/>
          <w:sz w:val="24"/>
          <w:szCs w:val="24"/>
        </w:rPr>
        <w:t>egulamentul</w:t>
      </w:r>
      <w:proofErr w:type="spellEnd"/>
      <w:r w:rsidR="002D778B" w:rsidRPr="00CA0F21">
        <w:rPr>
          <w:rFonts w:ascii="Times New Roman" w:eastAsia="Times New Roman" w:hAnsi="Times New Roman"/>
          <w:sz w:val="24"/>
          <w:szCs w:val="24"/>
        </w:rPr>
        <w:t xml:space="preserve"> CE 273 / 2004 </w:t>
      </w:r>
      <w:proofErr w:type="spellStart"/>
      <w:r w:rsidR="002D778B" w:rsidRPr="00CA0F21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="002D778B" w:rsidRPr="00CA0F2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D778B" w:rsidRPr="00CA0F21">
        <w:rPr>
          <w:rFonts w:ascii="Times New Roman" w:eastAsia="Times New Roman" w:hAnsi="Times New Roman"/>
          <w:sz w:val="24"/>
          <w:szCs w:val="24"/>
        </w:rPr>
        <w:t>precursorii</w:t>
      </w:r>
      <w:proofErr w:type="spellEnd"/>
      <w:r w:rsidR="002D778B" w:rsidRPr="00CA0F21">
        <w:rPr>
          <w:rFonts w:ascii="Times New Roman" w:eastAsia="Times New Roman" w:hAnsi="Times New Roman"/>
          <w:sz w:val="24"/>
          <w:szCs w:val="24"/>
        </w:rPr>
        <w:t xml:space="preserve"> de </w:t>
      </w:r>
      <w:proofErr w:type="spellStart"/>
      <w:r w:rsidR="002D778B" w:rsidRPr="00CA0F21">
        <w:rPr>
          <w:rFonts w:ascii="Times New Roman" w:eastAsia="Times New Roman" w:hAnsi="Times New Roman"/>
          <w:sz w:val="24"/>
          <w:szCs w:val="24"/>
        </w:rPr>
        <w:t>droguri</w:t>
      </w:r>
      <w:proofErr w:type="spellEnd"/>
      <w:r w:rsidR="002D778B" w:rsidRPr="00CA0F2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D778B" w:rsidRPr="00CA0F21">
        <w:rPr>
          <w:rFonts w:ascii="Times New Roman" w:eastAsia="Times New Roman" w:hAnsi="Times New Roman"/>
          <w:sz w:val="24"/>
          <w:szCs w:val="24"/>
        </w:rPr>
        <w:t>modificat</w:t>
      </w:r>
      <w:proofErr w:type="spellEnd"/>
      <w:r w:rsidR="002D778B" w:rsidRPr="00CA0F2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D778B" w:rsidRPr="00CA0F21"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 w:rsidR="002D778B" w:rsidRPr="00CA0F2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D778B" w:rsidRPr="00CA0F21">
        <w:rPr>
          <w:rFonts w:ascii="Times New Roman" w:eastAsia="Times New Roman" w:hAnsi="Times New Roman"/>
          <w:sz w:val="24"/>
          <w:szCs w:val="24"/>
        </w:rPr>
        <w:t>Regulamentul</w:t>
      </w:r>
      <w:proofErr w:type="spellEnd"/>
      <w:r w:rsidR="002D778B" w:rsidRPr="00CA0F21">
        <w:rPr>
          <w:rFonts w:ascii="Times New Roman" w:eastAsia="Times New Roman" w:hAnsi="Times New Roman"/>
          <w:sz w:val="24"/>
          <w:szCs w:val="24"/>
        </w:rPr>
        <w:t xml:space="preserve"> CE 219</w:t>
      </w:r>
      <w:r w:rsidR="004002E3">
        <w:rPr>
          <w:rFonts w:ascii="Times New Roman" w:eastAsia="Times New Roman" w:hAnsi="Times New Roman"/>
          <w:sz w:val="24"/>
          <w:szCs w:val="24"/>
        </w:rPr>
        <w:t xml:space="preserve"> </w:t>
      </w:r>
      <w:r w:rsidR="002D778B" w:rsidRPr="00CA0F21">
        <w:rPr>
          <w:rFonts w:ascii="Times New Roman" w:eastAsia="Times New Roman" w:hAnsi="Times New Roman"/>
          <w:sz w:val="24"/>
          <w:szCs w:val="24"/>
        </w:rPr>
        <w:t xml:space="preserve">/ 2009 </w:t>
      </w:r>
      <w:proofErr w:type="spellStart"/>
      <w:r w:rsidR="002D778B" w:rsidRPr="00CA0F21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="002D778B" w:rsidRPr="00CA0F2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D778B" w:rsidRPr="00CA0F21">
        <w:rPr>
          <w:rFonts w:ascii="Times New Roman" w:eastAsia="Times New Roman" w:hAnsi="Times New Roman"/>
          <w:sz w:val="24"/>
          <w:szCs w:val="24"/>
        </w:rPr>
        <w:t>Regulamentul</w:t>
      </w:r>
      <w:proofErr w:type="spellEnd"/>
      <w:r w:rsidR="002D778B" w:rsidRPr="00CA0F21">
        <w:rPr>
          <w:rFonts w:ascii="Times New Roman" w:eastAsia="Times New Roman" w:hAnsi="Times New Roman"/>
          <w:sz w:val="24"/>
          <w:szCs w:val="24"/>
        </w:rPr>
        <w:t xml:space="preserve"> CE 1258 / 2013 </w:t>
      </w:r>
      <w:proofErr w:type="spellStart"/>
      <w:r w:rsidR="002D778B" w:rsidRPr="00CA0F21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="002D778B" w:rsidRPr="00CA0F2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D778B" w:rsidRPr="00CA0F21">
        <w:rPr>
          <w:rFonts w:ascii="Times New Roman" w:eastAsia="Times New Roman" w:hAnsi="Times New Roman"/>
          <w:sz w:val="24"/>
          <w:szCs w:val="24"/>
        </w:rPr>
        <w:t>rectificat</w:t>
      </w:r>
      <w:proofErr w:type="spellEnd"/>
      <w:r w:rsidR="002D778B" w:rsidRPr="00CA0F2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D778B" w:rsidRPr="00CA0F21">
        <w:rPr>
          <w:rFonts w:ascii="Times New Roman" w:eastAsia="Times New Roman" w:hAnsi="Times New Roman"/>
          <w:sz w:val="24"/>
          <w:szCs w:val="24"/>
        </w:rPr>
        <w:t>în</w:t>
      </w:r>
      <w:proofErr w:type="spellEnd"/>
      <w:r w:rsidR="002D778B" w:rsidRPr="00CA0F2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D778B" w:rsidRPr="00CA0F21">
        <w:rPr>
          <w:rFonts w:ascii="Times New Roman" w:eastAsia="Times New Roman" w:hAnsi="Times New Roman"/>
          <w:sz w:val="24"/>
          <w:szCs w:val="24"/>
        </w:rPr>
        <w:t>anul</w:t>
      </w:r>
      <w:proofErr w:type="spellEnd"/>
      <w:r w:rsidR="002D778B" w:rsidRPr="00CA0F21">
        <w:rPr>
          <w:rFonts w:ascii="Times New Roman" w:eastAsia="Times New Roman" w:hAnsi="Times New Roman"/>
          <w:sz w:val="24"/>
          <w:szCs w:val="24"/>
        </w:rPr>
        <w:t xml:space="preserve"> 2015</w:t>
      </w:r>
    </w:p>
    <w:sectPr w:rsidR="0091799B" w:rsidRPr="00CA0F21" w:rsidSect="004002E3">
      <w:headerReference w:type="default" r:id="rId12"/>
      <w:footerReference w:type="default" r:id="rId13"/>
      <w:pgSz w:w="11906" w:h="16838"/>
      <w:pgMar w:top="851" w:right="746" w:bottom="851" w:left="990" w:header="397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91C4A" w14:textId="77777777" w:rsidR="00416C6C" w:rsidRDefault="00416C6C" w:rsidP="008B239C">
      <w:pPr>
        <w:spacing w:after="0" w:line="240" w:lineRule="auto"/>
      </w:pPr>
      <w:r>
        <w:separator/>
      </w:r>
    </w:p>
  </w:endnote>
  <w:endnote w:type="continuationSeparator" w:id="0">
    <w:p w14:paraId="2199A857" w14:textId="77777777" w:rsidR="00416C6C" w:rsidRDefault="00416C6C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702F" w14:textId="77777777" w:rsidR="0082408C" w:rsidRPr="0082408C" w:rsidRDefault="00416C6C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  <w:sz w:val="18"/>
        <w:szCs w:val="18"/>
      </w:rPr>
    </w:pPr>
    <w:r w:rsidRPr="0082408C">
      <w:rPr>
        <w:rFonts w:ascii="Times New Roman" w:hAnsi="Times New Roman"/>
        <w:i/>
        <w:sz w:val="18"/>
        <w:szCs w:val="18"/>
      </w:rPr>
      <w:t>UMFCD</w:t>
    </w:r>
    <w:r w:rsidRPr="0082408C">
      <w:rPr>
        <w:rFonts w:ascii="Times New Roman" w:hAnsi="Times New Roman"/>
        <w:b/>
        <w:i/>
        <w:sz w:val="18"/>
        <w:szCs w:val="18"/>
      </w:rPr>
      <w:t>:</w:t>
    </w:r>
    <w:r w:rsidRPr="0082408C">
      <w:rPr>
        <w:rFonts w:ascii="Times New Roman" w:hAnsi="Times New Roman"/>
        <w:i/>
        <w:sz w:val="18"/>
        <w:szCs w:val="18"/>
        <w:shd w:val="clear" w:color="auto" w:fill="FAFAFA"/>
      </w:rPr>
      <w:t xml:space="preserve"> </w:t>
    </w:r>
    <w:r w:rsidR="0082408C" w:rsidRPr="0082408C">
      <w:rPr>
        <w:rFonts w:ascii="Times New Roman" w:hAnsi="Times New Roman"/>
        <w:i/>
        <w:sz w:val="18"/>
        <w:szCs w:val="18"/>
        <w:shd w:val="clear" w:color="auto" w:fill="FAFAFA"/>
      </w:rPr>
      <w:t>s</w:t>
    </w:r>
    <w:r w:rsidR="00645402">
      <w:rPr>
        <w:rFonts w:ascii="Times New Roman" w:eastAsia="Times New Roman" w:hAnsi="Times New Roman"/>
        <w:i/>
        <w:sz w:val="18"/>
        <w:szCs w:val="18"/>
      </w:rPr>
      <w:t>tr. Dionisie Lupu 37</w:t>
    </w:r>
    <w:r w:rsidR="00645402" w:rsidRPr="0082408C">
      <w:rPr>
        <w:rFonts w:ascii="Times New Roman" w:eastAsia="Times New Roman" w:hAnsi="Times New Roman"/>
        <w:i/>
        <w:sz w:val="18"/>
        <w:szCs w:val="18"/>
      </w:rPr>
      <w:t>,</w:t>
    </w:r>
    <w:r w:rsidR="00645402">
      <w:rPr>
        <w:rFonts w:ascii="Times New Roman" w:eastAsia="Times New Roman" w:hAnsi="Times New Roman"/>
        <w:i/>
        <w:sz w:val="18"/>
        <w:szCs w:val="18"/>
      </w:rPr>
      <w:t xml:space="preserve"> </w:t>
    </w:r>
    <w:r w:rsidR="00645402" w:rsidRPr="0082408C">
      <w:rPr>
        <w:rFonts w:ascii="Times New Roman" w:eastAsia="Times New Roman" w:hAnsi="Times New Roman"/>
        <w:i/>
        <w:sz w:val="18"/>
        <w:szCs w:val="18"/>
      </w:rPr>
      <w:t>sector 2</w:t>
    </w:r>
    <w:r w:rsidR="00645402">
      <w:rPr>
        <w:rFonts w:ascii="Times New Roman" w:eastAsia="Times New Roman" w:hAnsi="Times New Roman"/>
        <w:i/>
        <w:sz w:val="18"/>
        <w:szCs w:val="18"/>
      </w:rPr>
      <w:t>, București,</w:t>
    </w:r>
    <w:r w:rsidR="0082408C" w:rsidRPr="0082408C">
      <w:rPr>
        <w:rFonts w:ascii="Times New Roman" w:eastAsia="Times New Roman" w:hAnsi="Times New Roman"/>
        <w:i/>
        <w:sz w:val="18"/>
        <w:szCs w:val="18"/>
      </w:rPr>
      <w:t xml:space="preserve"> România,</w:t>
    </w:r>
    <w:r w:rsidR="0082408C" w:rsidRPr="0082408C">
      <w:rPr>
        <w:rFonts w:ascii="Times New Roman" w:hAnsi="Times New Roman"/>
        <w:i/>
        <w:sz w:val="18"/>
        <w:szCs w:val="18"/>
      </w:rPr>
      <w:t xml:space="preserve"> </w:t>
    </w:r>
  </w:p>
  <w:p w14:paraId="698288B3" w14:textId="77777777" w:rsidR="00416C6C" w:rsidRPr="0082408C" w:rsidRDefault="00645402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>c</w:t>
    </w:r>
    <w:r w:rsidR="00416C6C" w:rsidRPr="0082408C">
      <w:rPr>
        <w:rFonts w:ascii="Times New Roman" w:hAnsi="Times New Roman"/>
        <w:i/>
        <w:sz w:val="18"/>
        <w:szCs w:val="18"/>
      </w:rPr>
      <w:t>od fiscal: 4192910</w:t>
    </w:r>
    <w:r w:rsidR="0082408C" w:rsidRPr="0082408C">
      <w:rPr>
        <w:rFonts w:ascii="Times New Roman" w:hAnsi="Times New Roman"/>
        <w:i/>
        <w:sz w:val="18"/>
        <w:szCs w:val="18"/>
      </w:rPr>
      <w:t xml:space="preserve">, </w:t>
    </w:r>
    <w:r>
      <w:rPr>
        <w:rFonts w:ascii="Times New Roman" w:hAnsi="Times New Roman"/>
        <w:i/>
        <w:sz w:val="18"/>
        <w:szCs w:val="18"/>
      </w:rPr>
      <w:t>c</w:t>
    </w:r>
    <w:r w:rsidR="00416C6C" w:rsidRPr="0082408C">
      <w:rPr>
        <w:rFonts w:ascii="Times New Roman" w:hAnsi="Times New Roman"/>
        <w:i/>
        <w:sz w:val="18"/>
        <w:szCs w:val="18"/>
      </w:rPr>
      <w:t>ont: RO57TREZ70220F330500XXXX</w:t>
    </w:r>
    <w:r w:rsidR="00416C6C" w:rsidRPr="0082408C">
      <w:rPr>
        <w:rStyle w:val="apple-converted-space"/>
        <w:rFonts w:ascii="Times New Roman" w:hAnsi="Times New Roman"/>
        <w:i/>
        <w:sz w:val="18"/>
        <w:szCs w:val="18"/>
      </w:rPr>
      <w:t xml:space="preserve">, </w:t>
    </w:r>
    <w:r>
      <w:rPr>
        <w:rFonts w:ascii="Times New Roman" w:hAnsi="Times New Roman"/>
        <w:i/>
        <w:sz w:val="18"/>
        <w:szCs w:val="18"/>
      </w:rPr>
      <w:t>b</w:t>
    </w:r>
    <w:r w:rsidR="00416C6C" w:rsidRPr="0082408C">
      <w:rPr>
        <w:rFonts w:ascii="Times New Roman" w:hAnsi="Times New Roman"/>
        <w:i/>
        <w:sz w:val="18"/>
        <w:szCs w:val="18"/>
      </w:rPr>
      <w:t>anca: T</w:t>
    </w:r>
    <w:r>
      <w:rPr>
        <w:rFonts w:ascii="Times New Roman" w:hAnsi="Times New Roman"/>
        <w:i/>
        <w:sz w:val="18"/>
        <w:szCs w:val="18"/>
      </w:rPr>
      <w:t>rezorerie,</w:t>
    </w:r>
    <w:r w:rsidR="00416C6C" w:rsidRPr="0082408C">
      <w:rPr>
        <w:rFonts w:ascii="Times New Roman" w:hAnsi="Times New Roman"/>
        <w:i/>
        <w:sz w:val="18"/>
        <w:szCs w:val="18"/>
      </w:rPr>
      <w:t xml:space="preserve"> sect</w:t>
    </w:r>
    <w:r>
      <w:rPr>
        <w:rFonts w:ascii="Times New Roman" w:hAnsi="Times New Roman"/>
        <w:i/>
        <w:sz w:val="18"/>
        <w:szCs w:val="18"/>
      </w:rPr>
      <w:t>or</w:t>
    </w:r>
    <w:r w:rsidR="00416C6C" w:rsidRPr="0082408C">
      <w:rPr>
        <w:rFonts w:ascii="Times New Roman" w:hAnsi="Times New Roman"/>
        <w:i/>
        <w:sz w:val="18"/>
        <w:szCs w:val="18"/>
      </w:rPr>
      <w:t xml:space="preserve"> 2</w:t>
    </w:r>
  </w:p>
  <w:p w14:paraId="4FC31BC2" w14:textId="77777777" w:rsidR="00416C6C" w:rsidRPr="0082408C" w:rsidRDefault="00645402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>t</w:t>
    </w:r>
    <w:r w:rsidR="00416C6C" w:rsidRPr="0082408C">
      <w:rPr>
        <w:rFonts w:ascii="Times New Roman" w:hAnsi="Times New Roman"/>
        <w:i/>
        <w:sz w:val="18"/>
        <w:szCs w:val="18"/>
      </w:rPr>
      <w:t>el: +40.21 318.0719; +40.21 318.0721; +40.21 318.0722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82E5" w14:textId="77777777" w:rsidR="00416C6C" w:rsidRDefault="00416C6C" w:rsidP="008B239C">
      <w:pPr>
        <w:spacing w:after="0" w:line="240" w:lineRule="auto"/>
      </w:pPr>
      <w:r>
        <w:separator/>
      </w:r>
    </w:p>
  </w:footnote>
  <w:footnote w:type="continuationSeparator" w:id="0">
    <w:p w14:paraId="2A688E57" w14:textId="77777777" w:rsidR="00416C6C" w:rsidRDefault="00416C6C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8E7B5" w14:textId="77777777" w:rsidR="00416C6C" w:rsidRPr="00D52814" w:rsidRDefault="00E5638B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eastAsia="ro-RO"/>
      </w:rPr>
      <w:drawing>
        <wp:inline distT="0" distB="0" distL="0" distR="0" wp14:anchorId="17B0E698" wp14:editId="788B0FE2">
          <wp:extent cx="6119495" cy="963930"/>
          <wp:effectExtent l="0" t="0" r="0" b="762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_farmacie_discip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963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46263"/>
    <w:multiLevelType w:val="hybridMultilevel"/>
    <w:tmpl w:val="01C2D1D0"/>
    <w:lvl w:ilvl="0" w:tplc="D55CDC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  <w:i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92B85"/>
    <w:multiLevelType w:val="hybridMultilevel"/>
    <w:tmpl w:val="1A8A7C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2058E"/>
    <w:multiLevelType w:val="hybridMultilevel"/>
    <w:tmpl w:val="FBA81DBE"/>
    <w:lvl w:ilvl="0" w:tplc="8AF8E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1525EC"/>
    <w:rsid w:val="00157134"/>
    <w:rsid w:val="001929BD"/>
    <w:rsid w:val="001A038C"/>
    <w:rsid w:val="001B5B2B"/>
    <w:rsid w:val="002168B2"/>
    <w:rsid w:val="00233B04"/>
    <w:rsid w:val="00236A38"/>
    <w:rsid w:val="00257831"/>
    <w:rsid w:val="00273C12"/>
    <w:rsid w:val="00286756"/>
    <w:rsid w:val="00287D50"/>
    <w:rsid w:val="00292CC1"/>
    <w:rsid w:val="002B5950"/>
    <w:rsid w:val="002C0B2B"/>
    <w:rsid w:val="002D3446"/>
    <w:rsid w:val="002D778B"/>
    <w:rsid w:val="002E3DBC"/>
    <w:rsid w:val="002F2772"/>
    <w:rsid w:val="002F3CE6"/>
    <w:rsid w:val="00302E17"/>
    <w:rsid w:val="003233D1"/>
    <w:rsid w:val="0032431C"/>
    <w:rsid w:val="00330F95"/>
    <w:rsid w:val="00331CE4"/>
    <w:rsid w:val="003320DB"/>
    <w:rsid w:val="00337526"/>
    <w:rsid w:val="00343790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3F6CC4"/>
    <w:rsid w:val="004002E3"/>
    <w:rsid w:val="00416C6C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09C1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5F62CE"/>
    <w:rsid w:val="00602880"/>
    <w:rsid w:val="00617E2C"/>
    <w:rsid w:val="00637390"/>
    <w:rsid w:val="00637A86"/>
    <w:rsid w:val="00645402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5DD7"/>
    <w:rsid w:val="006D7B91"/>
    <w:rsid w:val="00702B14"/>
    <w:rsid w:val="007032C3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408C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0987"/>
    <w:rsid w:val="00896A3D"/>
    <w:rsid w:val="008B239C"/>
    <w:rsid w:val="008B7FB1"/>
    <w:rsid w:val="008D32BF"/>
    <w:rsid w:val="008D3D62"/>
    <w:rsid w:val="008D6D37"/>
    <w:rsid w:val="008F62DE"/>
    <w:rsid w:val="008F6B68"/>
    <w:rsid w:val="009123B7"/>
    <w:rsid w:val="00913E9B"/>
    <w:rsid w:val="0091799B"/>
    <w:rsid w:val="00934D68"/>
    <w:rsid w:val="009505D9"/>
    <w:rsid w:val="0095750C"/>
    <w:rsid w:val="0096260B"/>
    <w:rsid w:val="009643ED"/>
    <w:rsid w:val="009678A4"/>
    <w:rsid w:val="00983E97"/>
    <w:rsid w:val="00986483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5FEC"/>
    <w:rsid w:val="00B77722"/>
    <w:rsid w:val="00B8135E"/>
    <w:rsid w:val="00B8513D"/>
    <w:rsid w:val="00BA2BC7"/>
    <w:rsid w:val="00BB5A3F"/>
    <w:rsid w:val="00BC100A"/>
    <w:rsid w:val="00BD0744"/>
    <w:rsid w:val="00BE1437"/>
    <w:rsid w:val="00BE19AA"/>
    <w:rsid w:val="00BE4E4A"/>
    <w:rsid w:val="00BF4A49"/>
    <w:rsid w:val="00C03B54"/>
    <w:rsid w:val="00C11D6A"/>
    <w:rsid w:val="00C40DB9"/>
    <w:rsid w:val="00C51606"/>
    <w:rsid w:val="00C616A3"/>
    <w:rsid w:val="00C750BA"/>
    <w:rsid w:val="00C80D60"/>
    <w:rsid w:val="00C87DD7"/>
    <w:rsid w:val="00C92842"/>
    <w:rsid w:val="00CA0F21"/>
    <w:rsid w:val="00CA1601"/>
    <w:rsid w:val="00CB0C61"/>
    <w:rsid w:val="00CB62F7"/>
    <w:rsid w:val="00CB7469"/>
    <w:rsid w:val="00CC27D1"/>
    <w:rsid w:val="00CE0906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6016"/>
    <w:rsid w:val="00D42758"/>
    <w:rsid w:val="00D4582C"/>
    <w:rsid w:val="00D47B40"/>
    <w:rsid w:val="00D52814"/>
    <w:rsid w:val="00D82178"/>
    <w:rsid w:val="00D911D9"/>
    <w:rsid w:val="00D94EA5"/>
    <w:rsid w:val="00D95784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638B"/>
    <w:rsid w:val="00E577AA"/>
    <w:rsid w:val="00E64699"/>
    <w:rsid w:val="00E70B59"/>
    <w:rsid w:val="00E87411"/>
    <w:rsid w:val="00E97718"/>
    <w:rsid w:val="00EA2EB1"/>
    <w:rsid w:val="00EA7A9A"/>
    <w:rsid w:val="00EE095E"/>
    <w:rsid w:val="00EE2B75"/>
    <w:rsid w:val="00EF0446"/>
    <w:rsid w:val="00EF6977"/>
    <w:rsid w:val="00F0055B"/>
    <w:rsid w:val="00F25077"/>
    <w:rsid w:val="00F263C9"/>
    <w:rsid w:val="00F327DC"/>
    <w:rsid w:val="00F34CE5"/>
    <w:rsid w:val="00F3540E"/>
    <w:rsid w:val="00F375AE"/>
    <w:rsid w:val="00F448DF"/>
    <w:rsid w:val="00F458E8"/>
    <w:rsid w:val="00F56CC3"/>
    <w:rsid w:val="00F7691A"/>
    <w:rsid w:val="00F820E9"/>
    <w:rsid w:val="00F833DA"/>
    <w:rsid w:val="00F90E77"/>
    <w:rsid w:val="00F9706C"/>
    <w:rsid w:val="00FA2128"/>
    <w:rsid w:val="00FC6E43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0F094A49"/>
  <w15:docId w15:val="{CACD7BBD-A6B2-4A88-87BC-9F32800E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10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100A"/>
    <w:rPr>
      <w:rFonts w:ascii="Courier New" w:eastAsia="Times New Roman" w:hAnsi="Courier New" w:cs="Courier New"/>
      <w:lang w:val="en-GB" w:eastAsia="en-GB"/>
    </w:rPr>
  </w:style>
  <w:style w:type="character" w:customStyle="1" w:styleId="y2iqfc">
    <w:name w:val="y2iqfc"/>
    <w:basedOn w:val="DefaultParagraphFont"/>
    <w:rsid w:val="00BC100A"/>
  </w:style>
  <w:style w:type="paragraph" w:customStyle="1" w:styleId="Default">
    <w:name w:val="Default"/>
    <w:rsid w:val="00CA0F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xUriServ/LexUriServ.do?uri=CELEX:32003L0094:RO:NO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na.gov.ro/legislatie%20precursori/HG%20358_2008%20pt%20aprobarea%20regulamentului%20de%20aplicare%20a%20OUG%20121_2006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egislatie.just.ro/Public/DetaliiDocumentAfis/1558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nitoruljuridic.ro/monitorul-oficial/483/2015-07-02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1008</Words>
  <Characters>5747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6742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</cp:lastModifiedBy>
  <cp:revision>13</cp:revision>
  <cp:lastPrinted>2022-09-30T14:36:00Z</cp:lastPrinted>
  <dcterms:created xsi:type="dcterms:W3CDTF">2024-05-28T10:28:00Z</dcterms:created>
  <dcterms:modified xsi:type="dcterms:W3CDTF">2024-06-06T08:54:00Z</dcterms:modified>
</cp:coreProperties>
</file>