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785DF" w14:textId="31B5585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OFTALMOLOGIE</w:t>
      </w:r>
    </w:p>
    <w:p w14:paraId="150AD228" w14:textId="5B2D061F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</w:p>
    <w:p w14:paraId="6950B8F0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</w:p>
    <w:p w14:paraId="1E777E53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Anatomia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fiziologia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analizatorului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vizual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simțul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cromatic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vederea</w:t>
      </w:r>
      <w:proofErr w:type="spellEnd"/>
    </w:p>
    <w:p w14:paraId="69360679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binoculară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58A3455E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Refracția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oculară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ametropiile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AA91931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anexelor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globului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ocular.</w:t>
      </w:r>
    </w:p>
    <w:p w14:paraId="143831D0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corneei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sclerei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ADBB734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uveei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A101A08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cristalinului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6C3A470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retinei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maculei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A881603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Boala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glaucomatoasă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71C122D7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Traumatologia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globului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anexelor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oculare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9628353" w14:textId="58D3BBAF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Manifestări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oftalmologice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bolile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generale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DD40303" w14:textId="59846D25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</w:p>
    <w:p w14:paraId="485C033A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</w:p>
    <w:p w14:paraId="7354CC4F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BIBLIOGRAFIE:</w:t>
      </w:r>
    </w:p>
    <w:p w14:paraId="172EE5A4" w14:textId="0CF4994C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Jack J. Kanski, Brad Bowling – Clinical Ophthalmology, 8th edition, ELSEVIER, 2015</w:t>
      </w:r>
    </w:p>
    <w:p w14:paraId="1EA9A831" w14:textId="6DA62063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93565D6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0B72A17" w14:textId="1051B1EA" w:rsidR="006F7546" w:rsidRDefault="006F7546" w:rsidP="00CA414D"/>
    <w:sectPr w:rsidR="006F7546" w:rsidSect="006A3D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4D"/>
    <w:rsid w:val="006A3D10"/>
    <w:rsid w:val="006F7546"/>
    <w:rsid w:val="008A4567"/>
    <w:rsid w:val="00CA414D"/>
    <w:rsid w:val="00E0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0B0406"/>
  <w15:chartTrackingRefBased/>
  <w15:docId w15:val="{204A1489-9CC9-4B4A-B29B-193E9781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Popa-Cherecheanu</dc:creator>
  <cp:keywords/>
  <dc:description/>
  <cp:lastModifiedBy>Alina Popa-Cherecheanu</cp:lastModifiedBy>
  <cp:revision>2</cp:revision>
  <dcterms:created xsi:type="dcterms:W3CDTF">2020-05-15T14:21:00Z</dcterms:created>
  <dcterms:modified xsi:type="dcterms:W3CDTF">2021-06-16T07:41:00Z</dcterms:modified>
</cp:coreProperties>
</file>