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B04EF" w14:textId="77777777" w:rsidR="001B6E31" w:rsidRDefault="001B6E31" w:rsidP="001B6E3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UNIVERSITATEA DE MEDICINĂ ŞI FARMACIE</w:t>
      </w:r>
    </w:p>
    <w:p w14:paraId="04293F09" w14:textId="77777777" w:rsidR="001B6E31" w:rsidRDefault="001B6E31" w:rsidP="001B6E3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„CAROL DAVILA” BUCUREŞTI</w:t>
      </w:r>
    </w:p>
    <w:p w14:paraId="3D63F990" w14:textId="77777777" w:rsidR="001B6E31" w:rsidRDefault="001B6E31" w:rsidP="001B6E3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ŞCOALA DOCTORALĂ</w:t>
      </w:r>
    </w:p>
    <w:p w14:paraId="3F69D31E" w14:textId="581F2E8B" w:rsidR="001B6E31" w:rsidRDefault="001B6E31" w:rsidP="001B6E3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DOMENIUL MEDICIN</w:t>
      </w:r>
      <w:r w:rsidR="00F7105E">
        <w:rPr>
          <w:rFonts w:ascii="Times New Roman" w:hAnsi="Times New Roman" w:cs="Times New Roman"/>
          <w:b/>
          <w:bCs/>
          <w:sz w:val="24"/>
          <w:szCs w:val="24"/>
        </w:rPr>
        <w:t>Ă</w:t>
      </w:r>
    </w:p>
    <w:p w14:paraId="59D4FC84" w14:textId="77777777" w:rsidR="001B6E31" w:rsidRDefault="001B6E31" w:rsidP="001B6E3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36"/>
          <w:szCs w:val="36"/>
        </w:rPr>
      </w:pPr>
    </w:p>
    <w:p w14:paraId="5AE82CE4" w14:textId="77777777" w:rsidR="001B6E31" w:rsidRDefault="001B6E31" w:rsidP="001B6E3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36"/>
          <w:szCs w:val="36"/>
        </w:rPr>
      </w:pPr>
    </w:p>
    <w:p w14:paraId="180F17F9" w14:textId="77777777" w:rsidR="001B6E31" w:rsidRDefault="001B6E31" w:rsidP="001B6E3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36"/>
          <w:szCs w:val="36"/>
        </w:rPr>
      </w:pPr>
    </w:p>
    <w:p w14:paraId="16176993" w14:textId="77777777" w:rsidR="001B6E31" w:rsidRDefault="001B6E31" w:rsidP="001B6E3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36"/>
          <w:szCs w:val="36"/>
        </w:rPr>
      </w:pPr>
    </w:p>
    <w:p w14:paraId="1B39F622" w14:textId="77777777" w:rsidR="001B6E31" w:rsidRDefault="001B6E31" w:rsidP="001B6E31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19A44601" w14:textId="77777777" w:rsidR="001B6E31" w:rsidRDefault="001B6E31" w:rsidP="001B6E3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E1E4B0F" w14:textId="72EE04B4" w:rsidR="001B6E31" w:rsidRPr="00F7105E" w:rsidRDefault="001B6E31" w:rsidP="001B6E3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PROGRESE </w:t>
      </w:r>
      <w:r w:rsidR="00F7105E">
        <w:rPr>
          <w:rFonts w:ascii="Times New Roman" w:hAnsi="Times New Roman" w:cs="Times New Roman"/>
          <w:b/>
          <w:bCs/>
          <w:sz w:val="36"/>
          <w:szCs w:val="36"/>
        </w:rPr>
        <w:t>Î</w:t>
      </w:r>
      <w:r>
        <w:rPr>
          <w:rFonts w:ascii="Times New Roman" w:hAnsi="Times New Roman" w:cs="Times New Roman"/>
          <w:b/>
          <w:bCs/>
          <w:sz w:val="36"/>
          <w:szCs w:val="36"/>
        </w:rPr>
        <w:t>N HEMATOLOGIA PEDIATRIC</w:t>
      </w:r>
      <w:r w:rsidR="00F7105E">
        <w:rPr>
          <w:rFonts w:ascii="Times New Roman" w:hAnsi="Times New Roman" w:cs="Times New Roman"/>
          <w:b/>
          <w:bCs/>
          <w:sz w:val="36"/>
          <w:szCs w:val="36"/>
          <w:lang w:val="ro-RO"/>
        </w:rPr>
        <w:t>Ă</w:t>
      </w:r>
    </w:p>
    <w:p w14:paraId="7B326F37" w14:textId="77777777" w:rsidR="001B6E31" w:rsidRDefault="001B6E31" w:rsidP="001B6E3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36"/>
          <w:szCs w:val="36"/>
        </w:rPr>
      </w:pPr>
    </w:p>
    <w:p w14:paraId="58E178FB" w14:textId="77777777" w:rsidR="001B6E31" w:rsidRDefault="001B6E31" w:rsidP="001B6E3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36"/>
          <w:szCs w:val="36"/>
        </w:rPr>
      </w:pPr>
    </w:p>
    <w:p w14:paraId="5CEB1384" w14:textId="77777777" w:rsidR="001B6E31" w:rsidRDefault="001B6E31" w:rsidP="001B6E3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36"/>
          <w:szCs w:val="36"/>
        </w:rPr>
      </w:pPr>
    </w:p>
    <w:p w14:paraId="4158A318" w14:textId="77777777" w:rsidR="001B6E31" w:rsidRDefault="001B6E31" w:rsidP="001B6E3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REZUMAT</w:t>
      </w:r>
    </w:p>
    <w:p w14:paraId="00759807" w14:textId="77777777" w:rsidR="001B6E31" w:rsidRDefault="001B6E31" w:rsidP="001B6E3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602E2" w14:textId="77777777" w:rsidR="001B6E31" w:rsidRDefault="001B6E31" w:rsidP="001B6E3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10B976BE" w14:textId="77777777" w:rsidR="001B6E31" w:rsidRDefault="001B6E31" w:rsidP="001B6E3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CFF69" w14:textId="77777777" w:rsidR="001B6E31" w:rsidRDefault="001B6E31" w:rsidP="001B6E3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2BAF3550" w14:textId="77777777" w:rsidR="001B6E31" w:rsidRDefault="001B6E31" w:rsidP="001B6E3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7B9D138D" w14:textId="77777777" w:rsidR="001B6E31" w:rsidRDefault="001B6E31" w:rsidP="001B6E3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54041217" w14:textId="77777777" w:rsidR="001B6E31" w:rsidRDefault="001B6E31" w:rsidP="001B6E3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3B36DE96" w14:textId="77777777" w:rsidR="001B6E31" w:rsidRDefault="001B6E31" w:rsidP="001B6E3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4305FF5A" w14:textId="77777777" w:rsidR="001B6E31" w:rsidRDefault="001B6E31" w:rsidP="001B6E3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5821F7E2" w14:textId="77777777" w:rsidR="001B6E31" w:rsidRDefault="001B6E31" w:rsidP="001B6E3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2A2F914A" w14:textId="77777777" w:rsidR="001B6E31" w:rsidRDefault="001B6E31" w:rsidP="001B6E3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7DE584D8" w14:textId="33DB2B3C" w:rsidR="001B6E31" w:rsidRDefault="001B6E31" w:rsidP="001B6E31">
      <w:pPr>
        <w:autoSpaceDE w:val="0"/>
        <w:autoSpaceDN w:val="0"/>
        <w:adjustRightInd w:val="0"/>
        <w:spacing w:line="240" w:lineRule="auto"/>
        <w:ind w:left="3540"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CANDIDAT:</w:t>
      </w:r>
    </w:p>
    <w:p w14:paraId="7A16645A" w14:textId="77777777" w:rsidR="00A852C4" w:rsidRDefault="00A852C4" w:rsidP="001B6E31">
      <w:pPr>
        <w:autoSpaceDE w:val="0"/>
        <w:autoSpaceDN w:val="0"/>
        <w:adjustRightInd w:val="0"/>
        <w:spacing w:line="240" w:lineRule="auto"/>
        <w:ind w:left="3540" w:firstLine="708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7E1496B5" w14:textId="77777777" w:rsidR="00A852C4" w:rsidRDefault="00A852C4" w:rsidP="00A852C4">
      <w:pPr>
        <w:autoSpaceDE w:val="0"/>
        <w:autoSpaceDN w:val="0"/>
        <w:adjustRightInd w:val="0"/>
        <w:spacing w:line="240" w:lineRule="auto"/>
        <w:ind w:left="2832"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COLIȚĂ ANCA,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Conferențiar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6E6A48C" w14:textId="77777777" w:rsidR="00A852C4" w:rsidRDefault="00A852C4" w:rsidP="00A852C4">
      <w:pPr>
        <w:autoSpaceDE w:val="0"/>
        <w:autoSpaceDN w:val="0"/>
        <w:adjustRightInd w:val="0"/>
        <w:spacing w:line="240" w:lineRule="auto"/>
        <w:ind w:left="2832"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UMF „CAROL DAVILA” BUCUREȘTI</w:t>
      </w:r>
    </w:p>
    <w:p w14:paraId="7B44A493" w14:textId="50B9AC52" w:rsidR="001B6E31" w:rsidRDefault="001B6E31" w:rsidP="001B6E31">
      <w:pPr>
        <w:autoSpaceDE w:val="0"/>
        <w:autoSpaceDN w:val="0"/>
        <w:adjustRightInd w:val="0"/>
        <w:spacing w:line="240" w:lineRule="auto"/>
        <w:ind w:left="2832" w:firstLine="708"/>
        <w:jc w:val="left"/>
        <w:rPr>
          <w:rFonts w:ascii="Times New Roman" w:hAnsi="Times New Roman" w:cs="Times New Roman"/>
          <w:sz w:val="28"/>
          <w:szCs w:val="28"/>
        </w:rPr>
      </w:pPr>
    </w:p>
    <w:p w14:paraId="136A94A4" w14:textId="77777777" w:rsidR="001B6E31" w:rsidRDefault="001B6E31" w:rsidP="001B6E3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7AD50728" w14:textId="77777777" w:rsidR="001B6E31" w:rsidRDefault="001B6E31" w:rsidP="001B6E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80707B" w14:textId="62E4D956" w:rsidR="001B6E31" w:rsidRDefault="001B6E31" w:rsidP="001B6E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72AF75" w14:textId="4AB458F5" w:rsidR="00A852C4" w:rsidRDefault="00A852C4" w:rsidP="001B6E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C599B5" w14:textId="4EA65B0B" w:rsidR="00A852C4" w:rsidRDefault="00A852C4" w:rsidP="001B6E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680EB4" w14:textId="77777777" w:rsidR="001B6E31" w:rsidRDefault="001B6E31" w:rsidP="001B6E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608D812" w14:textId="77777777" w:rsidR="001B6E31" w:rsidRDefault="001B6E31" w:rsidP="001B6E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ANUL 2020</w:t>
      </w:r>
    </w:p>
    <w:p w14:paraId="1F9F6A37" w14:textId="77777777" w:rsidR="00A852C4" w:rsidRDefault="00A852C4" w:rsidP="00A852C4">
      <w:pPr>
        <w:rPr>
          <w:rFonts w:ascii="Times New Roman" w:hAnsi="Times New Roman" w:cs="Times New Roman"/>
          <w:sz w:val="24"/>
          <w:szCs w:val="24"/>
        </w:rPr>
      </w:pPr>
      <w:bookmarkStart w:id="0" w:name="_Hlk43063982"/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abilitare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titlul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hematologia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pediatrică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academice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Tezei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doctorat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Tipul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factor de prognostic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leucemiile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acute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Constantin Arion. </w:t>
      </w:r>
    </w:p>
    <w:p w14:paraId="41BA86DD" w14:textId="77777777" w:rsidR="00A852C4" w:rsidRDefault="00A852C4" w:rsidP="00A852C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abilitare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structurată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secțiuni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D49FAF" w14:textId="77777777" w:rsidR="00A852C4" w:rsidRDefault="00A852C4" w:rsidP="00A85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Prima </w:t>
      </w:r>
      <w:proofErr w:type="spellStart"/>
      <w:r>
        <w:rPr>
          <w:rFonts w:ascii="Times New Roman" w:hAnsi="Times New Roman" w:cs="Times New Roman"/>
          <w:sz w:val="24"/>
          <w:szCs w:val="24"/>
        </w:rPr>
        <w:t>secțiune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științifică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subiectele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abordate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cariera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Hematologiei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pediatrice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reflectă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deosebit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leucemiiilor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acute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continue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transplant </w:t>
      </w:r>
      <w:proofErr w:type="spellStart"/>
      <w:r>
        <w:rPr>
          <w:rFonts w:ascii="Times New Roman" w:hAnsi="Times New Roman" w:cs="Times New Roman"/>
          <w:sz w:val="24"/>
          <w:szCs w:val="24"/>
        </w:rPr>
        <w:t>medular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pediatric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Romania. </w:t>
      </w:r>
    </w:p>
    <w:p w14:paraId="16FEB66C" w14:textId="77777777" w:rsidR="00A852C4" w:rsidRDefault="00A852C4" w:rsidP="00A85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Leucemiilor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acute am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diagnostic molecular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prognosticului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alegerea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terapeutic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Am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NGS 3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neraportate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leucemiile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acute  </w:t>
      </w:r>
      <w:proofErr w:type="spellStart"/>
      <w:r>
        <w:rPr>
          <w:rFonts w:ascii="Times New Roman" w:hAnsi="Times New Roman" w:cs="Times New Roman"/>
          <w:sz w:val="24"/>
          <w:szCs w:val="24"/>
        </w:rPr>
        <w:t>mieloblastice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K906E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DNMT3A, R201X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R20X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RUNX1 (“A new method to identify recurrent mutations in acute myeloid </w:t>
      </w:r>
      <w:proofErr w:type="spellStart"/>
      <w:r>
        <w:rPr>
          <w:rFonts w:ascii="Times New Roman" w:hAnsi="Times New Roman" w:cs="Times New Roman"/>
          <w:sz w:val="24"/>
          <w:szCs w:val="24"/>
        </w:rPr>
        <w:t>leukemia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using next-generation sequencing”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journaldate"/>
          <w:rFonts w:ascii="Times New Roman" w:hAnsi="Times New Roman" w:cs="Times New Roman"/>
          <w:sz w:val="24"/>
          <w:szCs w:val="24"/>
        </w:rPr>
        <w:t xml:space="preserve"> RRML, </w:t>
      </w:r>
      <w:r>
        <w:rPr>
          <w:rStyle w:val="journaldate"/>
          <w:rFonts w:ascii="Times New Roman" w:eastAsiaTheme="majorEastAsia" w:hAnsi="Times New Roman" w:cs="Times New Roman"/>
          <w:sz w:val="24"/>
          <w:szCs w:val="24"/>
        </w:rPr>
        <w:t>2014-03-25</w:t>
      </w:r>
      <w:r>
        <w:rPr>
          <w:rFonts w:ascii="Times New Roman" w:hAnsi="Times New Roman" w:cs="Times New Roman"/>
          <w:sz w:val="24"/>
          <w:szCs w:val="24"/>
        </w:rPr>
        <w:t xml:space="preserve"> | </w:t>
      </w:r>
      <w:r>
        <w:rPr>
          <w:rStyle w:val="Strong"/>
          <w:rFonts w:ascii="Times New Roman" w:hAnsi="Times New Roman" w:cs="Times New Roman"/>
          <w:sz w:val="24"/>
          <w:szCs w:val="24"/>
        </w:rPr>
        <w:t>DOI: </w:t>
      </w:r>
      <w:hyperlink r:id="rId5" w:history="1">
        <w:r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https://doi.org/10.2478/rrlm-2014-0003</w:t>
        </w:r>
      </w:hyperlink>
      <w:r>
        <w:rPr>
          <w:rStyle w:val="Hyperlink"/>
          <w:rFonts w:ascii="Times New Roman" w:eastAsiaTheme="majorEastAsia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IF- 0,097 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autori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Coriu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Jardan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Jardan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Talmaci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R, Dragomir M,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Colita A)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90967" w14:textId="77777777" w:rsidR="00A852C4" w:rsidRDefault="00A852C4" w:rsidP="00A852C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reziduale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leucemiile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acute </w:t>
      </w:r>
      <w:proofErr w:type="spellStart"/>
      <w:r>
        <w:rPr>
          <w:rFonts w:ascii="Times New Roman" w:hAnsi="Times New Roman" w:cs="Times New Roman"/>
          <w:sz w:val="24"/>
          <w:szCs w:val="24"/>
        </w:rPr>
        <w:t>limfoblastice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important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supraviețuirii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RT-PCR a </w:t>
      </w:r>
      <w:proofErr w:type="spellStart"/>
      <w:r>
        <w:rPr>
          <w:rFonts w:ascii="Times New Roman" w:hAnsi="Times New Roman" w:cs="Times New Roman"/>
          <w:sz w:val="24"/>
          <w:szCs w:val="24"/>
        </w:rPr>
        <w:t>anomalilor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moleculare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ulterior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flow-</w:t>
      </w:r>
      <w:proofErr w:type="spellStart"/>
      <w:r>
        <w:rPr>
          <w:rFonts w:ascii="Times New Roman" w:hAnsi="Times New Roman" w:cs="Times New Roman"/>
          <w:sz w:val="24"/>
          <w:szCs w:val="24"/>
        </w:rPr>
        <w:t>citometrie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multiparametrică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fenotipului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asociat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leucemiei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au </w:t>
      </w:r>
      <w:proofErr w:type="spellStart"/>
      <w:r>
        <w:rPr>
          <w:rFonts w:ascii="Times New Roman" w:hAnsi="Times New Roman" w:cs="Times New Roman"/>
          <w:sz w:val="24"/>
          <w:szCs w:val="24"/>
        </w:rPr>
        <w:t>arătat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constant,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apropiate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internaționale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excepția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pacienților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risc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crescut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diferențe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determinate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pacienți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transplant </w:t>
      </w:r>
      <w:proofErr w:type="spellStart"/>
      <w:r>
        <w:rPr>
          <w:rFonts w:ascii="Times New Roman" w:hAnsi="Times New Roman" w:cs="Times New Roman"/>
          <w:sz w:val="24"/>
          <w:szCs w:val="24"/>
        </w:rPr>
        <w:t>medular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DA88CA" w14:textId="77777777" w:rsidR="00A852C4" w:rsidRDefault="00A852C4" w:rsidP="00A85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transplantului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toxicitatea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comparativă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regimuri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autotransplant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limfoamele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maligne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introducerii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regimuri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afecțiuni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rare, precum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Diskeratoza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congenitală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BE7518" w14:textId="77777777" w:rsidR="00A852C4" w:rsidRDefault="00A852C4" w:rsidP="00A852C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Complicațiile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infecțioase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pacientul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imunodeprimat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importantă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concretizat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dozei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pediatrie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medicament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antifungic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proflaxie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Posaconazol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Catolică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Leuven.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dozei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120mg/m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 13 ani,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ulterior </w:t>
      </w:r>
      <w:proofErr w:type="spellStart"/>
      <w:r>
        <w:rPr>
          <w:rFonts w:ascii="Times New Roman" w:hAnsi="Times New Roman" w:cs="Times New Roman"/>
          <w:sz w:val="24"/>
          <w:szCs w:val="24"/>
        </w:rPr>
        <w:t>citat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importante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ghiduri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profilaxie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antifungică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ESCMID-ECCM-ERS 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ESCMID-ECMM 2019. </w:t>
      </w:r>
    </w:p>
    <w:p w14:paraId="529EC6AD" w14:textId="77777777" w:rsidR="00A852C4" w:rsidRDefault="00A852C4" w:rsidP="00A85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cercetători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MD Anderson Cancer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transplantului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haploidentic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combinația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fludara-melphan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refractare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Limfom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Hodgkin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adolescenți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adulți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prestigioasa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Bone Marrow Transplantation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2020. </w:t>
      </w:r>
    </w:p>
    <w:p w14:paraId="3038B417" w14:textId="77777777" w:rsidR="00A852C4" w:rsidRDefault="00A852C4" w:rsidP="00A85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de: </w:t>
      </w:r>
    </w:p>
    <w:p w14:paraId="0A6196A6" w14:textId="77777777" w:rsidR="00A852C4" w:rsidRDefault="00A852C4" w:rsidP="00A852C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Publicarea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31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articole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extenso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ISI (11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principal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coautor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23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articole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BDI, a 47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rezumate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ISI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38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rezumate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BDI</w:t>
      </w:r>
    </w:p>
    <w:p w14:paraId="5CDD0BEF" w14:textId="77777777" w:rsidR="00A852C4" w:rsidRDefault="00A852C4" w:rsidP="00A852C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Factor de impact (IF) </w:t>
      </w:r>
      <w:proofErr w:type="spellStart"/>
      <w:r>
        <w:rPr>
          <w:rFonts w:ascii="Times New Roman" w:hAnsi="Times New Roman" w:cs="Times New Roman"/>
          <w:sz w:val="24"/>
          <w:szCs w:val="24"/>
        </w:rPr>
        <w:t>cumulat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articole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ISI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principal: 22,75</w:t>
      </w:r>
    </w:p>
    <w:p w14:paraId="271FC16B" w14:textId="77777777" w:rsidR="00A852C4" w:rsidRDefault="00A852C4" w:rsidP="00A852C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proofErr w:type="spellStart"/>
      <w:r>
        <w:rPr>
          <w:rFonts w:ascii="Times New Roman" w:hAnsi="Times New Roman" w:cs="Times New Roman"/>
          <w:sz w:val="24"/>
          <w:szCs w:val="24"/>
        </w:rPr>
        <w:t>cumulat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articole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ISI total: 67,68</w:t>
      </w:r>
    </w:p>
    <w:p w14:paraId="084BE770" w14:textId="77777777" w:rsidR="00A852C4" w:rsidRDefault="00A852C4" w:rsidP="00A852C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granturi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internaționale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naționale</w:t>
      </w:r>
      <w:proofErr w:type="spellEnd"/>
    </w:p>
    <w:p w14:paraId="62FA64B0" w14:textId="77777777" w:rsidR="00A852C4" w:rsidRDefault="00A852C4" w:rsidP="00A852C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Investigator principal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>
        <w:rPr>
          <w:rFonts w:ascii="Times New Roman" w:hAnsi="Times New Roman" w:cs="Times New Roman"/>
          <w:sz w:val="24"/>
          <w:szCs w:val="24"/>
        </w:rPr>
        <w:t>trialuri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clinice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subinvestigator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trialuri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clinice</w:t>
      </w:r>
      <w:proofErr w:type="spellEnd"/>
    </w:p>
    <w:p w14:paraId="3AF5AC33" w14:textId="77777777" w:rsidR="00A852C4" w:rsidRDefault="00A852C4" w:rsidP="00A852C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Conferințe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internaționale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78</w:t>
      </w:r>
    </w:p>
    <w:p w14:paraId="7DDBE874" w14:textId="77777777" w:rsidR="00A852C4" w:rsidRDefault="00A852C4" w:rsidP="00A852C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156 </w:t>
      </w:r>
      <w:proofErr w:type="spellStart"/>
      <w:r>
        <w:rPr>
          <w:rFonts w:ascii="Times New Roman" w:hAnsi="Times New Roman" w:cs="Times New Roman"/>
          <w:sz w:val="24"/>
          <w:szCs w:val="24"/>
        </w:rPr>
        <w:t>citari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of Science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227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Google scholar</w:t>
      </w:r>
    </w:p>
    <w:p w14:paraId="7871B8BA" w14:textId="77777777" w:rsidR="00A852C4" w:rsidRDefault="00A852C4" w:rsidP="00A852C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Reviewer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internaționale</w:t>
      </w:r>
      <w:proofErr w:type="spellEnd"/>
    </w:p>
    <w:p w14:paraId="3DC8AAE3" w14:textId="77777777" w:rsidR="00A852C4" w:rsidRDefault="00A852C4" w:rsidP="00A852C4">
      <w:pPr>
        <w:numPr>
          <w:ilvl w:val="0"/>
          <w:numId w:val="5"/>
        </w:numPr>
        <w:autoSpaceDE w:val="0"/>
        <w:autoSpaceDN w:val="0"/>
        <w:adjustRightInd w:val="0"/>
        <w:ind w:left="1066" w:hanging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Premiul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« Victor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Babeş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» al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Academiei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Române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Ştiinţelor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Medicale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anul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2002,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acordat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lucrarea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Actualităţi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limfoamele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maligne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non-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hodgkiniene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autor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A. M.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Vlădăreanu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Editura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Amalteea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Bucureşti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– 2002.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această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monografie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sunt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coautor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unui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capitol.</w:t>
      </w:r>
    </w:p>
    <w:p w14:paraId="56508EEB" w14:textId="77777777" w:rsidR="00A852C4" w:rsidRDefault="00A852C4" w:rsidP="00A852C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Hirsch Web of Science 6 </w:t>
      </w:r>
    </w:p>
    <w:p w14:paraId="6B87C002" w14:textId="77777777" w:rsidR="00A852C4" w:rsidRDefault="00A852C4" w:rsidP="00A852C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>
        <w:rPr>
          <w:rFonts w:ascii="Times New Roman" w:hAnsi="Times New Roman" w:cs="Times New Roman"/>
          <w:sz w:val="24"/>
          <w:szCs w:val="24"/>
        </w:rPr>
        <w:t>doilea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capitol,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academică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Pediatrie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Clinic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academice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Preparator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Conferențiar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DE097B" w14:textId="77777777" w:rsidR="00A852C4" w:rsidRDefault="00A852C4" w:rsidP="00A852C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contribuit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utile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Compediu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pediatrie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Anca </w:t>
      </w:r>
      <w:proofErr w:type="spellStart"/>
      <w:r>
        <w:rPr>
          <w:rFonts w:ascii="Times New Roman" w:hAnsi="Times New Roman" w:cs="Times New Roman"/>
          <w:sz w:val="24"/>
          <w:szCs w:val="24"/>
        </w:rPr>
        <w:t>Doina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Pleșca</w:t>
      </w:r>
      <w:proofErr w:type="spellEnd"/>
      <w:r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Hematologia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Imagini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Dima Delia, Conf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Anca </w:t>
      </w:r>
      <w:proofErr w:type="spellStart"/>
      <w:r>
        <w:rPr>
          <w:rFonts w:ascii="Times New Roman" w:hAnsi="Times New Roman" w:cs="Times New Roman"/>
          <w:sz w:val="24"/>
          <w:szCs w:val="24"/>
        </w:rPr>
        <w:t>Bojan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Ciprian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Tomuleasa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UMF “Prof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Iuliu </w:t>
      </w:r>
      <w:proofErr w:type="spellStart"/>
      <w:r>
        <w:rPr>
          <w:rFonts w:ascii="Times New Roman" w:hAnsi="Times New Roman" w:cs="Times New Roman"/>
          <w:sz w:val="24"/>
          <w:szCs w:val="24"/>
        </w:rPr>
        <w:t>Hațieganu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” Cluj </w:t>
      </w:r>
      <w:proofErr w:type="spellStart"/>
      <w:r>
        <w:rPr>
          <w:rFonts w:ascii="Times New Roman" w:hAnsi="Times New Roman" w:cs="Times New Roman"/>
          <w:sz w:val="24"/>
          <w:szCs w:val="24"/>
        </w:rPr>
        <w:t>Napoca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rezidenților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specialitățile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Pediatrie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Hematologie</w:t>
      </w:r>
      <w:proofErr w:type="spellEnd"/>
      <w:r>
        <w:rPr>
          <w:rFonts w:ascii="Times New Roman" w:hAnsi="Times New Roman" w:cs="Times New Roman"/>
          <w:sz w:val="24"/>
          <w:szCs w:val="24"/>
        </w:rPr>
        <w:t>, Onco-</w:t>
      </w:r>
      <w:proofErr w:type="spellStart"/>
      <w:r>
        <w:rPr>
          <w:rFonts w:ascii="Times New Roman" w:hAnsi="Times New Roman" w:cs="Times New Roman"/>
          <w:sz w:val="24"/>
          <w:szCs w:val="24"/>
        </w:rPr>
        <w:t>Hematologie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pediatrică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(“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Ghiduri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protocoale în pediatrie: volum de ghiduri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rezumate” sub coordonarea Prof. Dr. Adrian Georgescu, „Valoarea examenelor de laborator în leucemiile acute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limfoblastice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la copil” autori Claudia Diță, Anca Coliță, Constantin Arion, „Leucemia acută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limfoblastică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la copil” autori Anca Coliță, Andrei Coliță, „Ghid de transplant medular”  sub coordonarea Prof. Dr. Tănase Alina,  dr.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Tomuleasa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Ciprian). </w:t>
      </w:r>
    </w:p>
    <w:p w14:paraId="4E1E9E28" w14:textId="77777777" w:rsidR="00A852C4" w:rsidRDefault="00A852C4" w:rsidP="00A852C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Am tradus capitolul Hematologie pentru ediția română a reputatului Oxford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Handbook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Clinical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Medicine, ediția a X-a, publicat de Oxford University Press în 2017. Acest ghid de </w:t>
      </w: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buzunar este un instrument care nu lipsește din biblioteca fiecărui student sau rezident în specialități medicale din întreaga lume.</w:t>
      </w:r>
    </w:p>
    <w:p w14:paraId="07A642A5" w14:textId="77777777" w:rsidR="00A852C4" w:rsidRDefault="00A852C4" w:rsidP="00A852C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Susținerea tinerilor rezidenți/specialiști în dezvoltarea abilităților de cercetare a fost o activitate constantă și s-a concretizat cu participarea acestora la numeroase manifestări științifice naționale și internaționale și finalizată cu obținerea de premii. </w:t>
      </w:r>
    </w:p>
    <w:p w14:paraId="10576CD1" w14:textId="77777777" w:rsidR="00A852C4" w:rsidRDefault="00A852C4" w:rsidP="00A852C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Am fost implicată în numeroase proiecte educaționale pentru tinerii specialiști în domeniul dificil al Hematologiei pediatrice și am organizat la București câteva evenimente importante precum „Al 4-lea  Curs European de Transplant Medular Pediatric- 2013”</w:t>
      </w:r>
    </w:p>
    <w:p w14:paraId="04F63C3C" w14:textId="77777777" w:rsidR="00A852C4" w:rsidRDefault="00A852C4" w:rsidP="00A852C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examenele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UMF “Carol Davila”: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licență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rezidențiat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doctorat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718703" w14:textId="77777777" w:rsidR="00A852C4" w:rsidRDefault="00A852C4" w:rsidP="00A852C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>
        <w:rPr>
          <w:rFonts w:ascii="Times New Roman" w:hAnsi="Times New Roman" w:cs="Times New Roman"/>
          <w:sz w:val="24"/>
          <w:szCs w:val="24"/>
        </w:rPr>
        <w:t>treilea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capitol,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medic (</w:t>
      </w:r>
      <w:proofErr w:type="spellStart"/>
      <w:r>
        <w:rPr>
          <w:rFonts w:ascii="Times New Roman" w:hAnsi="Times New Roman" w:cs="Times New Roman"/>
          <w:sz w:val="24"/>
          <w:szCs w:val="24"/>
        </w:rPr>
        <w:t>rezident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specialist,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desfașurată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Clinicii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Pediatrie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Clinic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ultimii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 de ani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permanentă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luptă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atingerea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standardelor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internaționale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pediatriei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hematologiei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pediatrice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special. Am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Șef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Secție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reorganizarea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Hemato-oncologie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concretizat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asociate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Rețeaua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Referință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(ERN)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2019.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Transplant </w:t>
      </w:r>
      <w:proofErr w:type="spellStart"/>
      <w:r>
        <w:rPr>
          <w:rFonts w:ascii="Times New Roman" w:hAnsi="Times New Roman" w:cs="Times New Roman"/>
          <w:sz w:val="24"/>
          <w:szCs w:val="24"/>
        </w:rPr>
        <w:t>Medular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Pediatric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importantă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transplant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introducerea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transplant (</w:t>
      </w:r>
      <w:proofErr w:type="spellStart"/>
      <w:r>
        <w:rPr>
          <w:rFonts w:ascii="Times New Roman" w:hAnsi="Times New Roman" w:cs="Times New Roman"/>
          <w:sz w:val="24"/>
          <w:szCs w:val="24"/>
        </w:rPr>
        <w:t>autolog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allogeneic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înrudit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neînrudit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haploidentic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precum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celulare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limfocite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tardive, </w:t>
      </w:r>
      <w:proofErr w:type="spellStart"/>
      <w:r>
        <w:rPr>
          <w:rFonts w:ascii="Times New Roman" w:hAnsi="Times New Roman" w:cs="Times New Roman"/>
          <w:sz w:val="24"/>
          <w:szCs w:val="24"/>
        </w:rPr>
        <w:t>obținere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limfocite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antivirale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depleția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TCRαβ)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Clinic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noiembrie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 am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manager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interimar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I.C.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dificilă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pandemiei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noul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coronavirus,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obiectivul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principal </w:t>
      </w:r>
      <w:proofErr w:type="spellStart"/>
      <w:r>
        <w:rPr>
          <w:rFonts w:ascii="Times New Roman" w:hAnsi="Times New Roman" w:cs="Times New Roman"/>
          <w:sz w:val="24"/>
          <w:szCs w:val="24"/>
        </w:rPr>
        <w:t>fiind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nișă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55674B" w14:textId="77777777" w:rsidR="00A852C4" w:rsidRDefault="00A852C4" w:rsidP="00A852C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Ultimul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capitol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carierei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intenționez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editarea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manualelor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studenți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rezidenți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cursuri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îmbunătăți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pedagogice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facilita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continua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expertiză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imunoterapiei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celulare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hemato-oncologie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crește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șansele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evoluție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pacienți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733ED6" w14:textId="0A012124" w:rsidR="0095350F" w:rsidRDefault="00A852C4" w:rsidP="00A852C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construiesc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carieră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academică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bună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reputație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contribuie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prestigiului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UMF "Carol Davila"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953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T1F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EF7E48E8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27" w:hanging="114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562366C"/>
    <w:multiLevelType w:val="hybridMultilevel"/>
    <w:tmpl w:val="FDDCA094"/>
    <w:lvl w:ilvl="0" w:tplc="359298E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6DF4CC4"/>
    <w:multiLevelType w:val="hybridMultilevel"/>
    <w:tmpl w:val="7820C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A057E"/>
    <w:multiLevelType w:val="hybridMultilevel"/>
    <w:tmpl w:val="CEEE0920"/>
    <w:lvl w:ilvl="0" w:tplc="3C5CFE0C">
      <w:start w:val="1"/>
      <w:numFmt w:val="decimal"/>
      <w:lvlText w:val="%1."/>
      <w:lvlJc w:val="left"/>
      <w:pPr>
        <w:ind w:left="720" w:hanging="360"/>
      </w:pPr>
      <w:rPr>
        <w:rFonts w:cs="TT1F0t00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50"/>
    <w:rsid w:val="00066808"/>
    <w:rsid w:val="000C039A"/>
    <w:rsid w:val="000E231C"/>
    <w:rsid w:val="000E4775"/>
    <w:rsid w:val="00107F52"/>
    <w:rsid w:val="001B6E31"/>
    <w:rsid w:val="002115C8"/>
    <w:rsid w:val="00294295"/>
    <w:rsid w:val="002C3700"/>
    <w:rsid w:val="00382C32"/>
    <w:rsid w:val="003F1A54"/>
    <w:rsid w:val="004104F2"/>
    <w:rsid w:val="00424164"/>
    <w:rsid w:val="0045405D"/>
    <w:rsid w:val="004D6DC2"/>
    <w:rsid w:val="00526D4B"/>
    <w:rsid w:val="0054170C"/>
    <w:rsid w:val="005775D8"/>
    <w:rsid w:val="005B18D1"/>
    <w:rsid w:val="007714C5"/>
    <w:rsid w:val="00841150"/>
    <w:rsid w:val="0090416A"/>
    <w:rsid w:val="00940375"/>
    <w:rsid w:val="0095350F"/>
    <w:rsid w:val="009D4541"/>
    <w:rsid w:val="00A852C4"/>
    <w:rsid w:val="00B815D3"/>
    <w:rsid w:val="00B93656"/>
    <w:rsid w:val="00D62D49"/>
    <w:rsid w:val="00E03062"/>
    <w:rsid w:val="00E86F4F"/>
    <w:rsid w:val="00F7105E"/>
    <w:rsid w:val="00FE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1011B"/>
  <w15:chartTrackingRefBased/>
  <w15:docId w15:val="{1271683C-A11A-4A76-B069-36678B8C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E31"/>
    <w:pPr>
      <w:spacing w:after="0" w:line="360" w:lineRule="auto"/>
      <w:ind w:firstLine="709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F52"/>
    <w:pPr>
      <w:ind w:left="720"/>
      <w:contextualSpacing/>
    </w:pPr>
  </w:style>
  <w:style w:type="character" w:styleId="Hyperlink">
    <w:name w:val="Hyperlink"/>
    <w:rsid w:val="0054170C"/>
    <w:rPr>
      <w:color w:val="000080"/>
      <w:u w:val="single"/>
    </w:rPr>
  </w:style>
  <w:style w:type="character" w:customStyle="1" w:styleId="journaldate">
    <w:name w:val="journaldate"/>
    <w:basedOn w:val="DefaultParagraphFont"/>
    <w:rsid w:val="0054170C"/>
  </w:style>
  <w:style w:type="character" w:styleId="Strong">
    <w:name w:val="Strong"/>
    <w:basedOn w:val="DefaultParagraphFont"/>
    <w:uiPriority w:val="22"/>
    <w:qFormat/>
    <w:rsid w:val="0054170C"/>
    <w:rPr>
      <w:b/>
      <w:bCs/>
    </w:rPr>
  </w:style>
  <w:style w:type="character" w:customStyle="1" w:styleId="ECVHeadingContactDetails">
    <w:name w:val="_ECV_HeadingContactDetails"/>
    <w:rsid w:val="002C3700"/>
    <w:rPr>
      <w:rFonts w:ascii="Arial" w:hAnsi="Arial"/>
      <w:color w:val="1593CB"/>
      <w:sz w:val="18"/>
      <w:szCs w:val="18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1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16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6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2478/rrlm-2014-00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colita</dc:creator>
  <cp:keywords/>
  <dc:description/>
  <cp:lastModifiedBy>anca colita</cp:lastModifiedBy>
  <cp:revision>5</cp:revision>
  <cp:lastPrinted>2020-06-14T18:47:00Z</cp:lastPrinted>
  <dcterms:created xsi:type="dcterms:W3CDTF">2020-06-14T15:42:00Z</dcterms:created>
  <dcterms:modified xsi:type="dcterms:W3CDTF">2020-06-21T06:38:00Z</dcterms:modified>
</cp:coreProperties>
</file>