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49" w:rsidRDefault="00663749" w:rsidP="00663749">
      <w:pPr>
        <w:rPr>
          <w:b/>
          <w:u w:val="single"/>
        </w:rPr>
      </w:pPr>
    </w:p>
    <w:p w:rsidR="00663749" w:rsidRDefault="00663749" w:rsidP="00663749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663749" w:rsidRDefault="00663749" w:rsidP="0066374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663749" w:rsidRDefault="00663749" w:rsidP="0066374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663749" w:rsidRDefault="00663749" w:rsidP="00663749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Departamentul</w:t>
      </w:r>
      <w:proofErr w:type="spellEnd"/>
      <w:r>
        <w:rPr>
          <w:b/>
          <w:i/>
          <w:sz w:val="28"/>
          <w:szCs w:val="28"/>
          <w:lang w:val="fr-FR"/>
        </w:rPr>
        <w:t xml:space="preserve">  13,  </w:t>
      </w:r>
      <w:proofErr w:type="spellStart"/>
      <w:r>
        <w:rPr>
          <w:b/>
          <w:i/>
          <w:sz w:val="28"/>
          <w:szCs w:val="28"/>
          <w:lang w:val="fr-FR"/>
        </w:rPr>
        <w:t>Clinic</w:t>
      </w:r>
      <w:proofErr w:type="spellEnd"/>
    </w:p>
    <w:p w:rsidR="00663749" w:rsidRDefault="00663749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59058F" w:rsidRDefault="0059058F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663749" w:rsidRDefault="00663749" w:rsidP="006637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post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Conferentiar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. 2,  Discipli</w:t>
      </w:r>
      <w:r w:rsidR="00751AD2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na </w:t>
      </w:r>
      <w:proofErr w:type="spellStart"/>
      <w:r w:rsidR="00751AD2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</w:t>
      </w:r>
      <w:r w:rsidR="005905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bstetrică</w:t>
      </w:r>
      <w:proofErr w:type="spellEnd"/>
      <w:r w:rsidR="005905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 w:rsidR="005905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 w:rsidR="005905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S.U.U.B.</w:t>
      </w:r>
    </w:p>
    <w:p w:rsidR="00663749" w:rsidRDefault="00663749" w:rsidP="00663749">
      <w:pPr>
        <w:spacing w:before="186" w:line="252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63749" w:rsidRDefault="00663749" w:rsidP="00663749">
      <w:pPr>
        <w:pStyle w:val="BodyText"/>
        <w:numPr>
          <w:ilvl w:val="0"/>
          <w:numId w:val="1"/>
        </w:numPr>
        <w:tabs>
          <w:tab w:val="left" w:pos="461"/>
        </w:tabs>
        <w:spacing w:before="1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Anatomia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clinica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anatomie</w:t>
      </w:r>
      <w:proofErr w:type="gram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endocrinologie</w:t>
      </w:r>
      <w:proofErr w:type="gram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reproducerii</w:t>
      </w:r>
      <w:proofErr w:type="spellEnd"/>
    </w:p>
    <w:p w:rsidR="00663749" w:rsidRDefault="00663749" w:rsidP="00663749">
      <w:pPr>
        <w:pStyle w:val="BodyText"/>
        <w:numPr>
          <w:ilvl w:val="0"/>
          <w:numId w:val="1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Sarcina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normal</w:t>
      </w:r>
      <w:r>
        <w:rPr>
          <w:rFonts w:ascii="Times New Roman" w:hAnsi="Times New Roman" w:cs="Times New Roman"/>
          <w:spacing w:val="-1"/>
        </w:rPr>
        <w:t>ă</w:t>
      </w:r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ind w:left="10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maternă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Consultația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preconcepțională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Îngrijirea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prenatală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ind w:right="4331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Diagnosticul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prenatal</w:t>
      </w:r>
      <w:proofErr w:type="spellEnd"/>
    </w:p>
    <w:p w:rsidR="00663749" w:rsidRDefault="00663749" w:rsidP="00663749">
      <w:pPr>
        <w:pStyle w:val="BodyText"/>
        <w:tabs>
          <w:tab w:val="left" w:pos="1181"/>
        </w:tabs>
        <w:ind w:left="820" w:right="4331" w:firstLine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</w:t>
      </w:r>
      <w:proofErr w:type="spellStart"/>
      <w:r>
        <w:rPr>
          <w:rFonts w:ascii="Times New Roman" w:hAnsi="Times New Roman" w:cs="Times New Roman"/>
          <w:lang w:val="fr-FR"/>
        </w:rPr>
        <w:t>Avortul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line="29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Boala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trofoblastică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gestațională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Complica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ții </w:t>
      </w:r>
      <w:proofErr w:type="spellStart"/>
      <w:r>
        <w:rPr>
          <w:rFonts w:ascii="Times New Roman" w:hAnsi="Times New Roman" w:cs="Times New Roman"/>
          <w:lang w:val="fr-FR"/>
        </w:rPr>
        <w:t>medicale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lang w:val="fr-FR"/>
        </w:rPr>
        <w:t xml:space="preserve">și chirurgicale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ginecologie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Medicină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Embriogeneza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dezvoltarea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morfologică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Genetică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Teratologie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Monitorizarea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intrapartum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Restricția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creștere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Suferința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Moartea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patologică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normală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Prezentațiile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distocice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travaliului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vaginală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operatorie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Analgezia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anestezia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  <w:spacing w:val="-1"/>
        </w:rPr>
        <w:t>obstetrica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post partum</w:t>
      </w:r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născutul.Îngrijiri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acordate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născutului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Anemia </w:t>
      </w:r>
      <w:proofErr w:type="spellStart"/>
      <w:r>
        <w:rPr>
          <w:rFonts w:ascii="Times New Roman" w:hAnsi="Times New Roman" w:cs="Times New Roman"/>
          <w:spacing w:val="-1"/>
        </w:rPr>
        <w:t>fetală.Alloimunizarea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4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lastRenderedPageBreak/>
        <w:t>Afec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hipertensive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multiplă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Nasterea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înainte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termen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prelungită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anexelor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fetale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placentare,ale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membranelor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amniotice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ale </w:t>
      </w:r>
      <w:proofErr w:type="spellStart"/>
      <w:r>
        <w:rPr>
          <w:rFonts w:ascii="Times New Roman" w:hAnsi="Times New Roman" w:cs="Times New Roman"/>
          <w:spacing w:val="-1"/>
        </w:rPr>
        <w:t>cordonului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ombilical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Lichidul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Complicațiile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puerperale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Urgențe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Sepsisul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șocul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Embolia</w:t>
      </w:r>
      <w:proofErr w:type="spellEnd"/>
      <w:r>
        <w:rPr>
          <w:rFonts w:ascii="Times New Roman" w:hAnsi="Times New Roman" w:cs="Times New Roman"/>
          <w:spacing w:val="-1"/>
        </w:rPr>
        <w:t xml:space="preserve"> cu </w:t>
      </w:r>
      <w:proofErr w:type="spellStart"/>
      <w:r>
        <w:rPr>
          <w:rFonts w:ascii="Times New Roman" w:hAnsi="Times New Roman" w:cs="Times New Roman"/>
          <w:spacing w:val="-1"/>
        </w:rPr>
        <w:t>lichid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matern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peripartum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Sindroame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în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ginecologie</w:t>
      </w:r>
      <w:proofErr w:type="spellEnd"/>
    </w:p>
    <w:p w:rsidR="00663749" w:rsidRDefault="00663749" w:rsidP="00663749">
      <w:pPr>
        <w:pStyle w:val="BodyText"/>
        <w:numPr>
          <w:ilvl w:val="0"/>
          <w:numId w:val="4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ciclu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menstrual:Sângerarea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  <w:spacing w:val="-1"/>
        </w:rPr>
        <w:t>menoragia,metroragii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disfuncționale</w:t>
      </w:r>
      <w:proofErr w:type="spellEnd"/>
      <w:r>
        <w:rPr>
          <w:rFonts w:ascii="Times New Roman" w:hAnsi="Times New Roman" w:cs="Times New Roman"/>
          <w:spacing w:val="-1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</w:rPr>
        <w:t>amenoreea</w:t>
      </w:r>
      <w:proofErr w:type="spellEnd"/>
    </w:p>
    <w:p w:rsidR="00663749" w:rsidRDefault="00663749" w:rsidP="00663749">
      <w:pPr>
        <w:numPr>
          <w:ilvl w:val="0"/>
          <w:numId w:val="4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Durerea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Infecțiile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Endometrioza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congenitale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statica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pelvină:Incontinența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urinară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pelvine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ginecologică</w:t>
      </w:r>
      <w:proofErr w:type="spellEnd"/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ind w:right="11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tractului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reproducător</w:t>
      </w:r>
      <w:proofErr w:type="spellEnd"/>
      <w:r>
        <w:rPr>
          <w:rFonts w:ascii="Times New Roman" w:hAnsi="Times New Roman" w:cs="Times New Roman"/>
          <w:spacing w:val="-1"/>
        </w:rPr>
        <w:t xml:space="preserve"> inferior</w:t>
      </w:r>
    </w:p>
    <w:p w:rsidR="00663749" w:rsidRDefault="00663749" w:rsidP="00663749">
      <w:pPr>
        <w:numPr>
          <w:ilvl w:val="0"/>
          <w:numId w:val="5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tubare</w:t>
      </w:r>
      <w:proofErr w:type="spellEnd"/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benign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sânului</w:t>
      </w:r>
      <w:proofErr w:type="spellEnd"/>
    </w:p>
    <w:p w:rsidR="00663749" w:rsidRDefault="00663749" w:rsidP="00663749">
      <w:pPr>
        <w:pStyle w:val="BodyText"/>
        <w:numPr>
          <w:ilvl w:val="0"/>
          <w:numId w:val="6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Cancerele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Cancerul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 xml:space="preserve">col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uterin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vulvar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vaginal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corp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uterin.Cancerul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endometrial.Sarcoamele</w:t>
      </w:r>
      <w:proofErr w:type="spellEnd"/>
      <w:r>
        <w:rPr>
          <w:rFonts w:ascii="Times New Roman" w:hAnsi="Times New Roman" w:cs="Times New Roman"/>
          <w:spacing w:val="-1"/>
        </w:rPr>
        <w:t xml:space="preserve"> uterine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ovar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epitelial</w:t>
      </w:r>
      <w:proofErr w:type="spellEnd"/>
      <w:r>
        <w:rPr>
          <w:rFonts w:ascii="Times New Roman" w:hAnsi="Times New Roman" w:cs="Times New Roman"/>
          <w:spacing w:val="-1"/>
        </w:rPr>
        <w:t xml:space="preserve"> ovarian.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celulelor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germinale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stromale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cordoanelor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sexuale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sân</w:t>
      </w:r>
      <w:proofErr w:type="spellEnd"/>
    </w:p>
    <w:p w:rsidR="00663749" w:rsidRDefault="00663749" w:rsidP="00663749">
      <w:pPr>
        <w:pStyle w:val="BodyText"/>
        <w:ind w:left="100" w:right="5100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26. </w:t>
      </w:r>
      <w:proofErr w:type="spellStart"/>
      <w:r>
        <w:rPr>
          <w:rFonts w:ascii="Times New Roman" w:hAnsi="Times New Roman" w:cs="Times New Roman"/>
        </w:rPr>
        <w:t>Ginecologie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pediatrică</w:t>
      </w:r>
      <w:proofErr w:type="spellEnd"/>
    </w:p>
    <w:p w:rsidR="00663749" w:rsidRDefault="00663749" w:rsidP="00663749">
      <w:pPr>
        <w:pStyle w:val="BodyText"/>
        <w:ind w:left="100" w:right="5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Menopauza</w:t>
      </w:r>
      <w:proofErr w:type="gramEnd"/>
    </w:p>
    <w:p w:rsidR="00663749" w:rsidRDefault="00663749" w:rsidP="00663749">
      <w:pPr>
        <w:pStyle w:val="BodyText"/>
        <w:numPr>
          <w:ilvl w:val="0"/>
          <w:numId w:val="7"/>
        </w:numPr>
        <w:tabs>
          <w:tab w:val="left" w:pos="46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Evaluarea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cuplului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infertil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Contracep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sterilitate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</w:p>
    <w:p w:rsidR="00663749" w:rsidRDefault="00663749" w:rsidP="00663749">
      <w:pPr>
        <w:pStyle w:val="ListParagraph"/>
        <w:ind w:left="460"/>
        <w:rPr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>
        <w:rPr>
          <w:rFonts w:ascii="Times New Roman" w:hAnsi="Times New Roman" w:cs="Times New Roman"/>
          <w:sz w:val="24"/>
          <w:szCs w:val="24"/>
        </w:rPr>
        <w:t>Ed.a24-a,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spacing w:before="1" w:line="232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663749" w:rsidRDefault="00663749" w:rsidP="00663749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13,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3749" w:rsidRDefault="00663749" w:rsidP="00663749"/>
    <w:p w:rsidR="00663749" w:rsidRDefault="00663749" w:rsidP="00663749"/>
    <w:p w:rsidR="002D1AB0" w:rsidRDefault="002D1AB0"/>
    <w:sectPr w:rsidR="002D1AB0" w:rsidSect="002D1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766EB9DA"/>
    <w:lvl w:ilvl="0" w:tplc="6742BA36">
      <w:start w:val="4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4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5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6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63749"/>
    <w:rsid w:val="002D1AB0"/>
    <w:rsid w:val="00316B4B"/>
    <w:rsid w:val="005811B9"/>
    <w:rsid w:val="0059058F"/>
    <w:rsid w:val="00663749"/>
    <w:rsid w:val="0075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74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7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3749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3749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3749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3749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2019-12-05T10:43:00Z</dcterms:created>
  <dcterms:modified xsi:type="dcterms:W3CDTF">2019-12-05T10:43:00Z</dcterms:modified>
</cp:coreProperties>
</file>