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04" w:rsidRPr="0075149E" w:rsidRDefault="000C4D04" w:rsidP="0075149E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bookmarkStart w:id="0" w:name="_GoBack"/>
      <w:bookmarkEnd w:id="0"/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Departamentul Invatamant Clinic – Ortopedie –ATI </w:t>
      </w:r>
    </w:p>
    <w:p w:rsidR="000C4D04" w:rsidRPr="0075149E" w:rsidRDefault="000C4D04" w:rsidP="0075149E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Disciplina: Farmacologie, Toxicologie, Psihofarmacologie Clinica </w:t>
      </w:r>
    </w:p>
    <w:p w:rsidR="000C4D04" w:rsidRPr="0075149E" w:rsidRDefault="000C4D04" w:rsidP="0075149E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Sesiunea 2017-2018 Semestrul II</w:t>
      </w:r>
    </w:p>
    <w:p w:rsidR="000C4D04" w:rsidRPr="0075149E" w:rsidRDefault="000C4D04" w:rsidP="0075149E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Pentru postul de sef de lucrari, pozitia 6, Disciplina: Toxicologie Clinica </w:t>
      </w:r>
    </w:p>
    <w:p w:rsidR="000C4D04" w:rsidRPr="0075149E" w:rsidRDefault="000C4D04" w:rsidP="0075149E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0C4D04" w:rsidRPr="0075149E" w:rsidRDefault="0075149E" w:rsidP="0075149E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b/>
          <w:kern w:val="36"/>
          <w:sz w:val="24"/>
          <w:szCs w:val="24"/>
          <w:lang w:eastAsia="ro-RO"/>
        </w:rPr>
        <w:t>Tematica de concurs</w:t>
      </w:r>
    </w:p>
    <w:p w:rsidR="0075149E" w:rsidRPr="0075149E" w:rsidRDefault="0075149E" w:rsidP="0075149E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ro-RO"/>
        </w:rPr>
      </w:pPr>
    </w:p>
    <w:p w:rsidR="00D27909" w:rsidRPr="0075149E" w:rsidRDefault="00D27909" w:rsidP="0075149E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Conduita medicală ȋn intoxicațiile acute</w:t>
      </w:r>
    </w:p>
    <w:p w:rsidR="00D27909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1.1. Stabilizarea inițială</w:t>
      </w:r>
    </w:p>
    <w:p w:rsidR="00D27909" w:rsidRPr="0075149E" w:rsidRDefault="0075149E" w:rsidP="0075149E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. D</w:t>
      </w:r>
      <w:r w:rsidR="00D27909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e</w:t>
      </w: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contaminarea (externă,internă)</w:t>
      </w:r>
    </w:p>
    <w:p w:rsidR="00D27909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1.3.E</w:t>
      </w:r>
      <w:r w:rsidR="00D27909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valuarea</w:t>
      </w: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 completă a intoxicatului acut</w:t>
      </w:r>
    </w:p>
    <w:p w:rsidR="00D27909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1.4.M</w:t>
      </w:r>
      <w:r w:rsidR="00D27909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etode terapeutice de creștere a eliminării toxinelor din organism (diureza forțată, modificarea pH-ului plasmatic si urinar, hemodializă, hemoperfuzie, cărbune activat seriat, oxigenoterapie hiperbară, plasmafereză, exsangvinotransfuzia)</w:t>
      </w:r>
    </w:p>
    <w:p w:rsidR="00D27909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1.5. A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ntidot- antidotism (clasificarea antidoturilor după mecanismul de acțiune, clasificarea antidoturilor ȋn raport cu urgență utilizării lor, antidoturi principale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1.6. T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erapia de susținere</w:t>
      </w:r>
    </w:p>
    <w:p w:rsidR="00D27909" w:rsidRPr="0075149E" w:rsidRDefault="00B007A6" w:rsidP="0075149E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Diagnosticul clinic al toxidroamelor frcvent intalnite</w:t>
      </w:r>
    </w:p>
    <w:p w:rsidR="00B007A6" w:rsidRPr="0075149E" w:rsidRDefault="0005625C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2.1</w:t>
      </w:r>
      <w:r w:rsidR="0075149E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Toxidromul colinergic muscarinic</w:t>
      </w:r>
    </w:p>
    <w:p w:rsidR="00B007A6" w:rsidRPr="0075149E" w:rsidRDefault="0005625C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2.2</w:t>
      </w:r>
      <w:r w:rsidR="0075149E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Toxidromul colinergic nicotinic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2.3.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Toxidromul anticolinergic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2.4.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Toxidromul narcotic (opioid)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2.5.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Toxidromul de ȋntrerupere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2.6.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Toxidromul simpatomimetic </w:t>
      </w:r>
    </w:p>
    <w:p w:rsidR="00B007A6" w:rsidRPr="0075149E" w:rsidRDefault="00B007A6" w:rsidP="0075149E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Coma toxică 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3.1.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Definiții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3.2.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Cauze ale comelor 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3.3.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Abordarea diagnostică ȋn come 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3.4.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Evaluarea profunzimii comei</w:t>
      </w:r>
    </w:p>
    <w:p w:rsidR="00B007A6" w:rsidRPr="0075149E" w:rsidRDefault="00B007A6" w:rsidP="0075149E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Intoxicații clinice medicamentoase</w:t>
      </w:r>
    </w:p>
    <w:p w:rsidR="00B007A6" w:rsidRPr="0075149E" w:rsidRDefault="0005625C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4.1</w:t>
      </w:r>
      <w:r w:rsidR="0075149E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benzodiazepine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4.2.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barbiturice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lastRenderedPageBreak/>
        <w:t xml:space="preserve">4.3.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neuroleptice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4.4.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antidepresive triciclice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4.5.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izoniazidă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4.6.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salicilați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4.7.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paracetamol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4.8.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fier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4.9. </w:t>
      </w:r>
      <w:r w:rsidR="0005625C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clo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nidină</w:t>
      </w:r>
    </w:p>
    <w:p w:rsidR="00B007A6" w:rsidRPr="0075149E" w:rsidRDefault="0005625C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4.10</w:t>
      </w:r>
      <w:r w:rsidR="0075149E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codeină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4.11.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rifampicină</w:t>
      </w:r>
    </w:p>
    <w:p w:rsidR="00B007A6" w:rsidRPr="0075149E" w:rsidRDefault="0005625C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4.12</w:t>
      </w:r>
      <w:r w:rsidR="0075149E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carbamazepină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4.13.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colchicină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4.14.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substante anticoagulante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4.15.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Intoxicația acută cu digitalice </w:t>
      </w:r>
    </w:p>
    <w:p w:rsidR="00B007A6" w:rsidRPr="0075149E" w:rsidRDefault="00B007A6" w:rsidP="0075149E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Intoxicații acute nemedicamentoase</w:t>
      </w:r>
    </w:p>
    <w:p w:rsidR="00B007A6" w:rsidRPr="0075149E" w:rsidRDefault="0005625C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5.1</w:t>
      </w:r>
      <w:r w:rsidR="0075149E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plumb</w:t>
      </w:r>
    </w:p>
    <w:p w:rsidR="00B007A6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5.2. </w:t>
      </w:r>
      <w:r w:rsidR="00B007A6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 cu arsen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5.3.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mercur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5.4.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cobalt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5.5.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iod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5.6.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etanol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5.7.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etilenglicol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5.8.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metanol</w:t>
      </w:r>
    </w:p>
    <w:p w:rsidR="0075149E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5.9.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oxid de carbon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5.10.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anticolinesterazice organofosforice</w:t>
      </w:r>
    </w:p>
    <w:p w:rsidR="00665433" w:rsidRPr="0075149E" w:rsidRDefault="0005625C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5.11</w:t>
      </w:r>
      <w:r w:rsidR="0075149E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anticolinesterazice carbamice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5.12.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cianuri si cianogeni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5.13.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hidrogen sulfurat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5.14.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heroină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5.15.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cocaină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5.16.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amfetamine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5.17.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halucinogene</w:t>
      </w:r>
    </w:p>
    <w:p w:rsidR="00665433" w:rsidRPr="0075149E" w:rsidRDefault="0005625C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5.18</w:t>
      </w:r>
      <w:r w:rsidR="0075149E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Droguri de abuz sintetice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5.19.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substanțe methemoglobinizante</w:t>
      </w:r>
    </w:p>
    <w:p w:rsidR="00665433" w:rsidRPr="0075149E" w:rsidRDefault="0005625C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5.20</w:t>
      </w:r>
      <w:r w:rsidR="0075149E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Arsuri chimice provocate de substanțe corozive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lastRenderedPageBreak/>
        <w:t xml:space="preserve">5.21.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hidrocarburi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5.22.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acetonă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5.23.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tetraclorură de carbon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5.24.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cloroform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5.25.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acid fluorhidric</w:t>
      </w:r>
    </w:p>
    <w:p w:rsidR="00665433" w:rsidRPr="0075149E" w:rsidRDefault="0075149E" w:rsidP="0075149E">
      <w:pPr>
        <w:pStyle w:val="ListParagraph"/>
        <w:shd w:val="clear" w:color="auto" w:fill="FFFFFF"/>
        <w:spacing w:after="0" w:line="360" w:lineRule="auto"/>
        <w:ind w:left="142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5.26. 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Intoxicația acută cu detergenți</w:t>
      </w:r>
    </w:p>
    <w:p w:rsidR="00665433" w:rsidRPr="0075149E" w:rsidRDefault="00665433" w:rsidP="0075149E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Conduita medicală ȋn intoxicațiile acute</w:t>
      </w:r>
    </w:p>
    <w:p w:rsidR="00355A49" w:rsidRPr="0075149E" w:rsidRDefault="0075149E" w:rsidP="0075149E">
      <w:pPr>
        <w:pStyle w:val="ListParagraph"/>
        <w:shd w:val="clear" w:color="auto" w:fill="FFFFFF"/>
        <w:spacing w:after="0" w:line="360" w:lineRule="auto"/>
        <w:ind w:left="106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6.1.</w:t>
      </w:r>
      <w:r w:rsidR="00665433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 Evaluarea rapidă a funcțiilor vitale:</w:t>
      </w:r>
      <w:r w:rsidR="00355A49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 evaluarea respirației, evaluarea circulației, evaluarea stării de conștiență</w:t>
      </w:r>
    </w:p>
    <w:p w:rsidR="00355A49" w:rsidRPr="0075149E" w:rsidRDefault="00355A49" w:rsidP="0075149E">
      <w:pPr>
        <w:pStyle w:val="ListParagraph"/>
        <w:shd w:val="clear" w:color="auto" w:fill="FFFFFF"/>
        <w:spacing w:after="0" w:line="360" w:lineRule="auto"/>
        <w:ind w:left="106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6.2</w:t>
      </w:r>
      <w:r w:rsidR="0075149E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.</w:t>
      </w: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 Stabilizarea. Manevre de resuscitare cardiorespiratorie si cerebrală a pacientului intoxicat </w:t>
      </w:r>
    </w:p>
    <w:p w:rsidR="00665433" w:rsidRPr="0075149E" w:rsidRDefault="00355A49" w:rsidP="0075149E">
      <w:pPr>
        <w:pStyle w:val="ListParagraph"/>
        <w:shd w:val="clear" w:color="auto" w:fill="FFFFFF"/>
        <w:spacing w:after="0" w:line="360" w:lineRule="auto"/>
        <w:ind w:left="1065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6.3</w:t>
      </w:r>
      <w:r w:rsidR="0075149E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.</w:t>
      </w: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 M</w:t>
      </w:r>
      <w:r w:rsidR="0075149E"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onitorizarea intoxicatului acut</w:t>
      </w: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 xml:space="preserve">: monitorizarea funcției respiratorii, cardiocirculatorie, monitorizarea stării de conștiență, diurezei, temperaturii corporale, parametriilor biologici. </w:t>
      </w:r>
    </w:p>
    <w:p w:rsidR="00EF6A60" w:rsidRDefault="00EF6A60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A04023" w:rsidRPr="00A04023" w:rsidRDefault="00A04023" w:rsidP="00A04023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D27909" w:rsidRPr="0075149E" w:rsidRDefault="00D27909" w:rsidP="0075149E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b/>
          <w:kern w:val="36"/>
          <w:sz w:val="24"/>
          <w:szCs w:val="24"/>
          <w:lang w:eastAsia="ro-RO"/>
        </w:rPr>
        <w:lastRenderedPageBreak/>
        <w:t>Bibliografie :</w:t>
      </w:r>
    </w:p>
    <w:p w:rsidR="00495DED" w:rsidRPr="0075149E" w:rsidRDefault="00495DED" w:rsidP="0075149E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Farmacologie. Ediția a II-a revizuită și adăugită - Ion Fulga (sub redacţia). 2017. Editura Medicala</w:t>
      </w:r>
      <w:r w:rsid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.</w:t>
      </w:r>
    </w:p>
    <w:p w:rsidR="00495DED" w:rsidRPr="0075149E" w:rsidRDefault="00495DED" w:rsidP="0075149E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Diagnostic şi tratament în intoxicaţiile acute. Victor A. Voicu, Radu Macovei, Liviu Miclea. Editura Brumar. Timişoara, 2006</w:t>
      </w:r>
      <w:r w:rsid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.</w:t>
      </w:r>
    </w:p>
    <w:p w:rsidR="00495DED" w:rsidRPr="0075149E" w:rsidRDefault="00495DED" w:rsidP="0075149E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Times New Roman" w:hAnsi="Arial" w:cs="Arial"/>
          <w:kern w:val="36"/>
          <w:sz w:val="24"/>
          <w:szCs w:val="24"/>
          <w:lang w:eastAsia="ro-RO"/>
        </w:rPr>
        <w:t>Ghid de toxicologie clinică. Victor A. Voicu, Radu Alexandru Macovei, Liviu Miclea. Ediţia a 2-a. Editura Brumar, Timişoara, 2012.</w:t>
      </w:r>
    </w:p>
    <w:p w:rsidR="0084761C" w:rsidRPr="0075149E" w:rsidRDefault="0084761C" w:rsidP="0075149E">
      <w:pPr>
        <w:pStyle w:val="BodyText"/>
        <w:numPr>
          <w:ilvl w:val="0"/>
          <w:numId w:val="1"/>
        </w:numPr>
        <w:autoSpaceDE/>
        <w:autoSpaceDN/>
        <w:spacing w:line="360" w:lineRule="auto"/>
        <w:jc w:val="left"/>
        <w:rPr>
          <w:rFonts w:ascii="Arial" w:hAnsi="Arial" w:cs="Arial"/>
          <w:b w:val="0"/>
          <w:lang w:val="ro-RO"/>
        </w:rPr>
      </w:pPr>
      <w:r w:rsidRPr="0075149E">
        <w:rPr>
          <w:rFonts w:ascii="Arial" w:hAnsi="Arial" w:cs="Arial"/>
          <w:b w:val="0"/>
          <w:lang w:val="ro-RO"/>
        </w:rPr>
        <w:t xml:space="preserve">Radu Alexandru Macovei, Victor A. Voicu: </w:t>
      </w:r>
      <w:r w:rsidRPr="0075149E">
        <w:rPr>
          <w:rFonts w:ascii="Arial" w:hAnsi="Arial" w:cs="Arial"/>
          <w:b w:val="0"/>
          <w:i/>
          <w:lang w:val="ro-RO"/>
        </w:rPr>
        <w:t>Intoxicaţia acută cu antidepresive triciclice</w:t>
      </w:r>
      <w:r w:rsidRPr="0075149E">
        <w:rPr>
          <w:rFonts w:ascii="Arial" w:hAnsi="Arial" w:cs="Arial"/>
          <w:b w:val="0"/>
          <w:lang w:val="ro-RO"/>
        </w:rPr>
        <w:t>, Editura Oltenita Tridona, 2002, ISBN 973-99421-5-6</w:t>
      </w:r>
      <w:r w:rsidR="0075149E">
        <w:rPr>
          <w:rFonts w:ascii="Arial" w:hAnsi="Arial" w:cs="Arial"/>
          <w:b w:val="0"/>
          <w:lang w:val="ro-RO"/>
        </w:rPr>
        <w:t>.</w:t>
      </w:r>
    </w:p>
    <w:p w:rsidR="0084761C" w:rsidRPr="0075149E" w:rsidRDefault="0084761C" w:rsidP="0075149E">
      <w:pPr>
        <w:pStyle w:val="BodyText"/>
        <w:numPr>
          <w:ilvl w:val="0"/>
          <w:numId w:val="1"/>
        </w:numPr>
        <w:autoSpaceDE/>
        <w:autoSpaceDN/>
        <w:spacing w:line="360" w:lineRule="auto"/>
        <w:jc w:val="left"/>
        <w:rPr>
          <w:rFonts w:ascii="Arial" w:hAnsi="Arial" w:cs="Arial"/>
          <w:b w:val="0"/>
          <w:lang w:val="ro-RO"/>
        </w:rPr>
      </w:pPr>
      <w:r w:rsidRPr="0075149E">
        <w:rPr>
          <w:rFonts w:ascii="Arial" w:hAnsi="Arial" w:cs="Arial"/>
          <w:b w:val="0"/>
          <w:lang w:val="ro-RO"/>
        </w:rPr>
        <w:t xml:space="preserve">Radu Alexandru Macovei, Victor A. Voicu: </w:t>
      </w:r>
      <w:r w:rsidRPr="0075149E">
        <w:rPr>
          <w:rFonts w:ascii="Arial" w:hAnsi="Arial" w:cs="Arial"/>
          <w:b w:val="0"/>
          <w:i/>
          <w:lang w:val="ro-RO"/>
        </w:rPr>
        <w:t>Intoxicaţia acută cu antidepresive triciclice</w:t>
      </w:r>
      <w:r w:rsidRPr="0075149E">
        <w:rPr>
          <w:rFonts w:ascii="Arial" w:hAnsi="Arial" w:cs="Arial"/>
          <w:b w:val="0"/>
          <w:lang w:val="ro-RO"/>
        </w:rPr>
        <w:t>, Editia a- II-a revizuitã, Editura Universitarã „Carol Davila” (acreditatã CNCSIS cu aviz nr. 11/23.06.2004), Bucuresti, 2006, ISBN (10) 973-708-130</w:t>
      </w:r>
      <w:r w:rsidR="0075149E">
        <w:rPr>
          <w:rFonts w:ascii="Arial" w:hAnsi="Arial" w:cs="Arial"/>
          <w:b w:val="0"/>
          <w:lang w:val="ro-RO"/>
        </w:rPr>
        <w:t>-7, ISBN (13) 978-973-708-130-8.</w:t>
      </w:r>
    </w:p>
    <w:p w:rsidR="0084761C" w:rsidRPr="0075149E" w:rsidRDefault="0084761C" w:rsidP="0075149E">
      <w:pPr>
        <w:pStyle w:val="BodyText"/>
        <w:numPr>
          <w:ilvl w:val="0"/>
          <w:numId w:val="1"/>
        </w:numPr>
        <w:autoSpaceDE/>
        <w:autoSpaceDN/>
        <w:spacing w:line="360" w:lineRule="auto"/>
        <w:jc w:val="left"/>
        <w:rPr>
          <w:rFonts w:ascii="Arial" w:hAnsi="Arial" w:cs="Arial"/>
          <w:b w:val="0"/>
          <w:lang w:val="ro-RO"/>
        </w:rPr>
      </w:pPr>
      <w:r w:rsidRPr="0075149E">
        <w:rPr>
          <w:rFonts w:ascii="Arial" w:hAnsi="Arial" w:cs="Arial"/>
          <w:b w:val="0"/>
          <w:lang w:val="ro-RO"/>
        </w:rPr>
        <w:t xml:space="preserve">Victor A. Voicu, Radu Macovei, Liviu Miclea: </w:t>
      </w:r>
      <w:r w:rsidRPr="0075149E">
        <w:rPr>
          <w:rFonts w:ascii="Arial" w:hAnsi="Arial" w:cs="Arial"/>
          <w:b w:val="0"/>
          <w:i/>
          <w:lang w:val="ro-RO"/>
        </w:rPr>
        <w:t xml:space="preserve">Ghid de toxicologie clinicã, </w:t>
      </w:r>
      <w:r w:rsidRPr="0075149E">
        <w:rPr>
          <w:rFonts w:ascii="Arial" w:hAnsi="Arial" w:cs="Arial"/>
          <w:b w:val="0"/>
          <w:lang w:val="ro-RO"/>
        </w:rPr>
        <w:t>Editura Medicalã Amaltea, Bucuresti, 1999, ISBN 973-9397-05-0</w:t>
      </w:r>
      <w:r w:rsidR="0075149E">
        <w:rPr>
          <w:rFonts w:ascii="Arial" w:hAnsi="Arial" w:cs="Arial"/>
          <w:b w:val="0"/>
          <w:lang w:val="ro-RO"/>
        </w:rPr>
        <w:t>.</w:t>
      </w:r>
    </w:p>
    <w:p w:rsidR="0084761C" w:rsidRPr="0075149E" w:rsidRDefault="0084761C" w:rsidP="0075149E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  <w:r w:rsidRPr="0075149E">
        <w:rPr>
          <w:rFonts w:ascii="Arial" w:eastAsia="Calibri" w:hAnsi="Arial" w:cs="Arial"/>
          <w:sz w:val="24"/>
          <w:szCs w:val="24"/>
        </w:rPr>
        <w:t xml:space="preserve">Victor A. Voicu, Radu Alexandru Macovei, Liviu Ioan Miclea : </w:t>
      </w:r>
      <w:r w:rsidRPr="0075149E">
        <w:rPr>
          <w:rFonts w:ascii="Arial" w:eastAsia="Calibri" w:hAnsi="Arial" w:cs="Arial"/>
          <w:i/>
          <w:sz w:val="24"/>
          <w:szCs w:val="24"/>
        </w:rPr>
        <w:t>Toxicologie clinicã</w:t>
      </w:r>
      <w:r w:rsidRPr="0075149E">
        <w:rPr>
          <w:rFonts w:ascii="Arial" w:eastAsia="Calibri" w:hAnsi="Arial" w:cs="Arial"/>
          <w:sz w:val="24"/>
          <w:szCs w:val="24"/>
        </w:rPr>
        <w:t>, Editura Albatros, 1997, ISBN 973-24-0395-0</w:t>
      </w:r>
      <w:r w:rsidR="0075149E">
        <w:rPr>
          <w:rFonts w:ascii="Arial" w:eastAsia="Calibri" w:hAnsi="Arial" w:cs="Arial"/>
          <w:sz w:val="24"/>
          <w:szCs w:val="24"/>
        </w:rPr>
        <w:t>.</w:t>
      </w:r>
    </w:p>
    <w:p w:rsidR="0084761C" w:rsidRPr="0075149E" w:rsidRDefault="0084761C" w:rsidP="0075149E">
      <w:pPr>
        <w:pStyle w:val="BodyText"/>
        <w:numPr>
          <w:ilvl w:val="0"/>
          <w:numId w:val="1"/>
        </w:numPr>
        <w:autoSpaceDE/>
        <w:autoSpaceDN/>
        <w:spacing w:line="360" w:lineRule="auto"/>
        <w:jc w:val="left"/>
        <w:rPr>
          <w:rFonts w:ascii="Arial" w:hAnsi="Arial" w:cs="Arial"/>
          <w:b w:val="0"/>
          <w:lang w:val="ro-RO"/>
        </w:rPr>
      </w:pPr>
      <w:r w:rsidRPr="0075149E">
        <w:rPr>
          <w:rFonts w:ascii="Arial" w:hAnsi="Arial" w:cs="Arial"/>
          <w:b w:val="0"/>
          <w:shd w:val="clear" w:color="auto" w:fill="FFFFFF"/>
          <w:lang w:val="ro-RO"/>
        </w:rPr>
        <w:t>Mihail Silviu Tudosie, Radu Alexandru Macovei, Mihai Ionica: Intoxicatia acuta cu compusi organo-fosforici. Corelatii toxicocinetic</w:t>
      </w:r>
      <w:r w:rsidR="0075149E">
        <w:rPr>
          <w:rFonts w:ascii="Arial" w:hAnsi="Arial" w:cs="Arial"/>
          <w:b w:val="0"/>
          <w:shd w:val="clear" w:color="auto" w:fill="FFFFFF"/>
          <w:lang w:val="ro-RO"/>
        </w:rPr>
        <w:t>e si toxicodinamice.</w:t>
      </w:r>
      <w:r w:rsidRPr="0075149E">
        <w:rPr>
          <w:rFonts w:ascii="Arial" w:hAnsi="Arial" w:cs="Arial"/>
          <w:b w:val="0"/>
          <w:shd w:val="clear" w:color="auto" w:fill="FFFFFF"/>
          <w:lang w:val="ro-RO"/>
        </w:rPr>
        <w:t>Editura Universitara „Carol Davila” Bucuresti 2014, ISBN: 978-973-708-768-3.</w:t>
      </w:r>
    </w:p>
    <w:p w:rsidR="0075149E" w:rsidRDefault="0084761C" w:rsidP="0075149E">
      <w:pPr>
        <w:pStyle w:val="BodyText"/>
        <w:numPr>
          <w:ilvl w:val="0"/>
          <w:numId w:val="1"/>
        </w:numPr>
        <w:autoSpaceDE/>
        <w:autoSpaceDN/>
        <w:spacing w:line="360" w:lineRule="auto"/>
        <w:jc w:val="left"/>
        <w:rPr>
          <w:rFonts w:ascii="Arial" w:hAnsi="Arial" w:cs="Arial"/>
          <w:b w:val="0"/>
          <w:lang w:val="ro-RO"/>
        </w:rPr>
      </w:pPr>
      <w:r w:rsidRPr="0075149E">
        <w:rPr>
          <w:rFonts w:ascii="Arial" w:hAnsi="Arial" w:cs="Arial"/>
          <w:b w:val="0"/>
          <w:shd w:val="clear" w:color="auto" w:fill="FFFFFF"/>
          <w:lang w:val="ro-RO"/>
        </w:rPr>
        <w:t>Radu Alexandru Macovei, Anca Monica Macovei Oprescu, Mihai Ionica: Intoxicatia cuta si cronica cu opiacee, Editura Universitara „Carol Davila”, Bucuresti 2015, ISBN: 978-973-708-865-9</w:t>
      </w:r>
      <w:r w:rsidR="0075149E">
        <w:rPr>
          <w:rFonts w:ascii="Arial" w:hAnsi="Arial" w:cs="Arial"/>
          <w:b w:val="0"/>
          <w:shd w:val="clear" w:color="auto" w:fill="FFFFFF"/>
          <w:lang w:val="ro-RO"/>
        </w:rPr>
        <w:t>.</w:t>
      </w:r>
    </w:p>
    <w:p w:rsidR="00B7582A" w:rsidRPr="0075149E" w:rsidRDefault="00B7582A" w:rsidP="0075149E">
      <w:pPr>
        <w:pStyle w:val="BodyText"/>
        <w:numPr>
          <w:ilvl w:val="0"/>
          <w:numId w:val="1"/>
        </w:numPr>
        <w:autoSpaceDE/>
        <w:autoSpaceDN/>
        <w:spacing w:line="360" w:lineRule="auto"/>
        <w:jc w:val="left"/>
        <w:rPr>
          <w:rFonts w:ascii="Arial" w:hAnsi="Arial" w:cs="Arial"/>
          <w:b w:val="0"/>
          <w:lang w:val="ro-RO"/>
        </w:rPr>
      </w:pPr>
      <w:r w:rsidRPr="0075149E">
        <w:rPr>
          <w:rFonts w:ascii="Arial" w:hAnsi="Arial" w:cs="Arial"/>
          <w:b w:val="0"/>
          <w:kern w:val="36"/>
          <w:lang w:val="en-US"/>
        </w:rPr>
        <w:t xml:space="preserve">Lippincott's Manual of Toxicology, </w:t>
      </w:r>
      <w:r w:rsidRPr="0075149E">
        <w:rPr>
          <w:rFonts w:ascii="Arial" w:hAnsi="Arial" w:cs="Arial"/>
          <w:b w:val="0"/>
          <w:lang w:val="en-US"/>
        </w:rPr>
        <w:t xml:space="preserve">ISBN: 9781451173307 </w:t>
      </w:r>
      <w:proofErr w:type="spellStart"/>
      <w:r w:rsidRPr="0075149E">
        <w:rPr>
          <w:rFonts w:ascii="Arial" w:hAnsi="Arial" w:cs="Arial"/>
          <w:b w:val="0"/>
          <w:lang w:val="en-US"/>
        </w:rPr>
        <w:t>Editura</w:t>
      </w:r>
      <w:proofErr w:type="spellEnd"/>
      <w:r w:rsidRPr="0075149E">
        <w:rPr>
          <w:rFonts w:ascii="Arial" w:hAnsi="Arial" w:cs="Arial"/>
          <w:b w:val="0"/>
          <w:lang w:val="en-US"/>
        </w:rPr>
        <w:t xml:space="preserve">: </w:t>
      </w:r>
      <w:hyperlink r:id="rId5" w:tooltip="Carti - Editura Lippincott  Williams Wilkins" w:history="1">
        <w:r w:rsidRPr="0075149E">
          <w:rPr>
            <w:rFonts w:ascii="Arial" w:hAnsi="Arial" w:cs="Arial"/>
            <w:b w:val="0"/>
            <w:lang w:val="en-US"/>
          </w:rPr>
          <w:t>Lippincott Williams Wilkins</w:t>
        </w:r>
      </w:hyperlink>
      <w:r w:rsidRPr="0075149E">
        <w:rPr>
          <w:rFonts w:ascii="Arial" w:hAnsi="Arial" w:cs="Arial"/>
          <w:b w:val="0"/>
          <w:lang w:val="en-US"/>
        </w:rPr>
        <w:t xml:space="preserve"> , </w:t>
      </w:r>
      <w:proofErr w:type="spellStart"/>
      <w:r w:rsidRPr="0075149E">
        <w:rPr>
          <w:rFonts w:ascii="Arial" w:hAnsi="Arial" w:cs="Arial"/>
          <w:b w:val="0"/>
          <w:lang w:val="en-US"/>
        </w:rPr>
        <w:t>Anul</w:t>
      </w:r>
      <w:proofErr w:type="spellEnd"/>
      <w:r w:rsidRPr="0075149E">
        <w:rPr>
          <w:rFonts w:ascii="Arial" w:hAnsi="Arial" w:cs="Arial"/>
          <w:b w:val="0"/>
          <w:lang w:val="en-US"/>
        </w:rPr>
        <w:t xml:space="preserve"> </w:t>
      </w:r>
      <w:proofErr w:type="spellStart"/>
      <w:r w:rsidRPr="0075149E">
        <w:rPr>
          <w:rFonts w:ascii="Arial" w:hAnsi="Arial" w:cs="Arial"/>
          <w:b w:val="0"/>
          <w:lang w:val="en-US"/>
        </w:rPr>
        <w:t>publicarii</w:t>
      </w:r>
      <w:proofErr w:type="spellEnd"/>
      <w:r w:rsidRPr="0075149E">
        <w:rPr>
          <w:rFonts w:ascii="Arial" w:hAnsi="Arial" w:cs="Arial"/>
          <w:b w:val="0"/>
          <w:lang w:val="en-US"/>
        </w:rPr>
        <w:t>: 2012</w:t>
      </w:r>
      <w:r w:rsidR="0075149E">
        <w:rPr>
          <w:rFonts w:ascii="Arial" w:hAnsi="Arial" w:cs="Arial"/>
          <w:b w:val="0"/>
          <w:lang w:val="en-US"/>
        </w:rPr>
        <w:t>.</w:t>
      </w:r>
    </w:p>
    <w:p w:rsidR="00B7582A" w:rsidRPr="0075149E" w:rsidRDefault="00B7582A" w:rsidP="0075149E">
      <w:pPr>
        <w:pStyle w:val="ListParagraph"/>
        <w:numPr>
          <w:ilvl w:val="0"/>
          <w:numId w:val="1"/>
        </w:num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</w:pPr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 xml:space="preserve">Clinical Toxicology Principles and Mechanisms, Frank A. </w:t>
      </w:r>
      <w:proofErr w:type="spellStart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>Barile</w:t>
      </w:r>
      <w:proofErr w:type="spellEnd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 xml:space="preserve">, ISBN: 978-4200922-5-7, </w:t>
      </w:r>
      <w:proofErr w:type="spellStart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>Editura</w:t>
      </w:r>
      <w:proofErr w:type="spellEnd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 xml:space="preserve">: </w:t>
      </w:r>
      <w:proofErr w:type="spellStart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>Informa</w:t>
      </w:r>
      <w:proofErr w:type="spellEnd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 xml:space="preserve"> Healthcare, </w:t>
      </w:r>
      <w:proofErr w:type="spellStart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>Anul</w:t>
      </w:r>
      <w:proofErr w:type="spellEnd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 xml:space="preserve"> publicarii:2010, </w:t>
      </w:r>
      <w:proofErr w:type="spellStart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>Editia</w:t>
      </w:r>
      <w:proofErr w:type="spellEnd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 xml:space="preserve"> 2. </w:t>
      </w:r>
    </w:p>
    <w:p w:rsidR="00FD188D" w:rsidRDefault="00FD188D" w:rsidP="0075149E">
      <w:pPr>
        <w:pStyle w:val="ListParagraph"/>
        <w:numPr>
          <w:ilvl w:val="0"/>
          <w:numId w:val="1"/>
        </w:num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</w:pPr>
      <w:proofErr w:type="gramStart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>Fundamental  Toxicology</w:t>
      </w:r>
      <w:proofErr w:type="gramEnd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 xml:space="preserve">, John H </w:t>
      </w:r>
      <w:proofErr w:type="spellStart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>Duffus</w:t>
      </w:r>
      <w:proofErr w:type="spellEnd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 xml:space="preserve">; </w:t>
      </w:r>
      <w:proofErr w:type="spellStart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>Edintox</w:t>
      </w:r>
      <w:proofErr w:type="spellEnd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 xml:space="preserve">, UK Howard G J Worth; King’s Mill Centre for Health Care Services, UK, ISBN: 978 0 85404 614 0, </w:t>
      </w:r>
      <w:proofErr w:type="spellStart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>Editura</w:t>
      </w:r>
      <w:proofErr w:type="spellEnd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 xml:space="preserve">: Royal Society of Chemistry, </w:t>
      </w:r>
      <w:proofErr w:type="spellStart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>Anul</w:t>
      </w:r>
      <w:proofErr w:type="spellEnd"/>
      <w:r w:rsidRPr="0075149E"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  <w:t xml:space="preserve"> publicarii:2006, Editia:2.</w:t>
      </w:r>
    </w:p>
    <w:p w:rsidR="00A04023" w:rsidRDefault="00A04023" w:rsidP="00A04023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n-US"/>
        </w:rPr>
      </w:pPr>
    </w:p>
    <w:p w:rsidR="000C4D04" w:rsidRPr="0075149E" w:rsidRDefault="000C4D04" w:rsidP="00EB5489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0C4D04" w:rsidRPr="0075149E" w:rsidRDefault="000C4D04" w:rsidP="0075149E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p w:rsidR="00DE3DCF" w:rsidRPr="0075149E" w:rsidRDefault="00DE3DCF" w:rsidP="00EB5489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ro-RO"/>
        </w:rPr>
      </w:pPr>
    </w:p>
    <w:sectPr w:rsidR="00DE3DCF" w:rsidRPr="0075149E" w:rsidSect="00D05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_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4347"/>
    <w:multiLevelType w:val="multilevel"/>
    <w:tmpl w:val="B4B87D3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65" w:hanging="1800"/>
      </w:pPr>
      <w:rPr>
        <w:rFonts w:hint="default"/>
      </w:rPr>
    </w:lvl>
  </w:abstractNum>
  <w:abstractNum w:abstractNumId="1" w15:restartNumberingAfterBreak="0">
    <w:nsid w:val="1BD97E2E"/>
    <w:multiLevelType w:val="multilevel"/>
    <w:tmpl w:val="13446F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2" w15:restartNumberingAfterBreak="0">
    <w:nsid w:val="3446147E"/>
    <w:multiLevelType w:val="hybridMultilevel"/>
    <w:tmpl w:val="CDE8F6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6A9"/>
    <w:multiLevelType w:val="hybridMultilevel"/>
    <w:tmpl w:val="966E9C06"/>
    <w:lvl w:ilvl="0" w:tplc="E3EA3938">
      <w:start w:val="1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5554BF6"/>
    <w:multiLevelType w:val="hybridMultilevel"/>
    <w:tmpl w:val="2DA8F31C"/>
    <w:lvl w:ilvl="0" w:tplc="1E1EC472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5" w15:restartNumberingAfterBreak="0">
    <w:nsid w:val="6D385A63"/>
    <w:multiLevelType w:val="multilevel"/>
    <w:tmpl w:val="A84E365C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89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6" w15:restartNumberingAfterBreak="0">
    <w:nsid w:val="76E328EA"/>
    <w:multiLevelType w:val="hybridMultilevel"/>
    <w:tmpl w:val="43A6C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CD"/>
    <w:rsid w:val="0005625C"/>
    <w:rsid w:val="000C4D04"/>
    <w:rsid w:val="000E1C05"/>
    <w:rsid w:val="00297619"/>
    <w:rsid w:val="00355A49"/>
    <w:rsid w:val="003D4748"/>
    <w:rsid w:val="00495DED"/>
    <w:rsid w:val="005F0F19"/>
    <w:rsid w:val="00602771"/>
    <w:rsid w:val="00665433"/>
    <w:rsid w:val="0075149E"/>
    <w:rsid w:val="0084761C"/>
    <w:rsid w:val="008732E1"/>
    <w:rsid w:val="00A04023"/>
    <w:rsid w:val="00B007A6"/>
    <w:rsid w:val="00B7582A"/>
    <w:rsid w:val="00BD1C9F"/>
    <w:rsid w:val="00BF3C37"/>
    <w:rsid w:val="00C008CD"/>
    <w:rsid w:val="00D055CC"/>
    <w:rsid w:val="00D27909"/>
    <w:rsid w:val="00DE3DCF"/>
    <w:rsid w:val="00EB5489"/>
    <w:rsid w:val="00EF6A60"/>
    <w:rsid w:val="00FA704C"/>
    <w:rsid w:val="00FD1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8F49F0-7BFC-4725-A377-8857CCB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748"/>
  </w:style>
  <w:style w:type="paragraph" w:styleId="Heading1">
    <w:name w:val="heading 1"/>
    <w:basedOn w:val="Normal"/>
    <w:link w:val="Heading1Char"/>
    <w:uiPriority w:val="9"/>
    <w:qFormat/>
    <w:rsid w:val="0049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DED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spanlink">
    <w:name w:val="span_link"/>
    <w:basedOn w:val="DefaultParagraphFont"/>
    <w:rsid w:val="00495DED"/>
  </w:style>
  <w:style w:type="paragraph" w:styleId="ListParagraph">
    <w:name w:val="List Paragraph"/>
    <w:basedOn w:val="Normal"/>
    <w:uiPriority w:val="34"/>
    <w:qFormat/>
    <w:rsid w:val="00495DED"/>
    <w:pPr>
      <w:ind w:left="720"/>
      <w:contextualSpacing/>
    </w:pPr>
  </w:style>
  <w:style w:type="paragraph" w:styleId="BodyText">
    <w:name w:val="Body Text"/>
    <w:basedOn w:val="Normal"/>
    <w:link w:val="BodyTextChar"/>
    <w:rsid w:val="0084761C"/>
    <w:pPr>
      <w:autoSpaceDE w:val="0"/>
      <w:autoSpaceDN w:val="0"/>
      <w:spacing w:after="0" w:line="240" w:lineRule="auto"/>
      <w:jc w:val="both"/>
    </w:pPr>
    <w:rPr>
      <w:rFonts w:ascii="_Arial" w:eastAsia="Times New Roman" w:hAnsi="_Arial" w:cs="_Arial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4761C"/>
    <w:rPr>
      <w:rFonts w:ascii="_Arial" w:eastAsia="Times New Roman" w:hAnsi="_Arial" w:cs="_Arial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B75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5657">
              <w:marLeft w:val="0"/>
              <w:marRight w:val="0"/>
              <w:marTop w:val="0"/>
              <w:marBottom w:val="0"/>
              <w:divBdr>
                <w:top w:val="single" w:sz="6" w:space="4" w:color="DBDBDB"/>
                <w:left w:val="single" w:sz="6" w:space="4" w:color="DBDBDB"/>
                <w:bottom w:val="single" w:sz="6" w:space="4" w:color="DBDBDB"/>
                <w:right w:val="single" w:sz="6" w:space="4" w:color="DBDBDB"/>
              </w:divBdr>
            </w:div>
          </w:divsChild>
        </w:div>
        <w:div w:id="14930570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llisto.ro/editura/lippincott-williams-wilkins--i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</dc:creator>
  <cp:lastModifiedBy>User</cp:lastModifiedBy>
  <cp:revision>2</cp:revision>
  <cp:lastPrinted>2018-05-31T05:28:00Z</cp:lastPrinted>
  <dcterms:created xsi:type="dcterms:W3CDTF">2018-07-03T07:10:00Z</dcterms:created>
  <dcterms:modified xsi:type="dcterms:W3CDTF">2018-07-03T07:10:00Z</dcterms:modified>
</cp:coreProperties>
</file>