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1934"/>
        <w:gridCol w:w="2162"/>
        <w:gridCol w:w="1862"/>
      </w:tblGrid>
      <w:tr w:rsidR="00835603" w14:paraId="30227811" w14:textId="77777777" w:rsidTr="00E44E13">
        <w:tc>
          <w:tcPr>
            <w:tcW w:w="3068" w:type="dxa"/>
            <w:vAlign w:val="center"/>
          </w:tcPr>
          <w:p w14:paraId="4FFBBFA2" w14:textId="6CC65402" w:rsidR="00835603" w:rsidRDefault="00835603" w:rsidP="00D9584B">
            <w:pPr>
              <w:pStyle w:val="Heading1"/>
              <w:jc w:val="both"/>
              <w:outlineLvl w:val="0"/>
              <w:rPr>
                <w:rFonts w:ascii="Arial" w:eastAsia="Arial" w:hAnsi="Arial" w:cs="Arial"/>
                <w:b/>
                <w:color w:val="auto"/>
                <w:sz w:val="20"/>
                <w:szCs w:val="20"/>
              </w:rPr>
            </w:pPr>
            <w:bookmarkStart w:id="0" w:name="_GoBack"/>
            <w:r w:rsidRPr="00985FE9">
              <w:rPr>
                <w:noProof/>
              </w:rPr>
              <w:drawing>
                <wp:inline distT="0" distB="0" distL="0" distR="0" wp14:anchorId="0F91C40B" wp14:editId="661AA273">
                  <wp:extent cx="1811579" cy="807720"/>
                  <wp:effectExtent l="0" t="0" r="0" b="0"/>
                  <wp:docPr id="10"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Graphical user interface&#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139" cy="811091"/>
                          </a:xfrm>
                          <a:prstGeom prst="rect">
                            <a:avLst/>
                          </a:prstGeom>
                          <a:ln cap="flat"/>
                        </pic:spPr>
                      </pic:pic>
                    </a:graphicData>
                  </a:graphic>
                </wp:inline>
              </w:drawing>
            </w:r>
          </w:p>
        </w:tc>
        <w:tc>
          <w:tcPr>
            <w:tcW w:w="1934" w:type="dxa"/>
            <w:vAlign w:val="center"/>
          </w:tcPr>
          <w:p w14:paraId="07F37E86" w14:textId="1E61EA6F" w:rsidR="00835603" w:rsidRDefault="00835603" w:rsidP="00D9584B">
            <w:pPr>
              <w:pStyle w:val="Heading1"/>
              <w:jc w:val="both"/>
              <w:outlineLvl w:val="0"/>
              <w:rPr>
                <w:rFonts w:ascii="Arial" w:eastAsia="Arial" w:hAnsi="Arial" w:cs="Arial"/>
                <w:b/>
                <w:color w:val="auto"/>
                <w:sz w:val="20"/>
                <w:szCs w:val="20"/>
              </w:rPr>
            </w:pPr>
            <w:r>
              <w:rPr>
                <w:noProof/>
              </w:rPr>
              <w:drawing>
                <wp:inline distT="0" distB="0" distL="0" distR="0" wp14:anchorId="3DD5D37D" wp14:editId="4F1F465D">
                  <wp:extent cx="1046480" cy="1047115"/>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P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6480" cy="1047115"/>
                          </a:xfrm>
                          <a:prstGeom prst="rect">
                            <a:avLst/>
                          </a:prstGeom>
                        </pic:spPr>
                      </pic:pic>
                    </a:graphicData>
                  </a:graphic>
                </wp:inline>
              </w:drawing>
            </w:r>
          </w:p>
        </w:tc>
        <w:tc>
          <w:tcPr>
            <w:tcW w:w="2162" w:type="dxa"/>
            <w:vAlign w:val="center"/>
          </w:tcPr>
          <w:p w14:paraId="234997E6" w14:textId="705EEF38" w:rsidR="00835603" w:rsidRDefault="00835603" w:rsidP="00D9584B">
            <w:pPr>
              <w:pStyle w:val="Heading1"/>
              <w:jc w:val="both"/>
              <w:outlineLvl w:val="0"/>
              <w:rPr>
                <w:rFonts w:ascii="Arial" w:eastAsia="Arial" w:hAnsi="Arial" w:cs="Arial"/>
                <w:b/>
                <w:color w:val="auto"/>
                <w:sz w:val="20"/>
                <w:szCs w:val="20"/>
              </w:rPr>
            </w:pPr>
            <w:r>
              <w:rPr>
                <w:rFonts w:ascii="Arial" w:eastAsia="Arial" w:hAnsi="Arial" w:cs="Arial"/>
                <w:b/>
                <w:noProof/>
              </w:rPr>
              <w:drawing>
                <wp:inline distT="0" distB="0" distL="0" distR="0" wp14:anchorId="20EE2240" wp14:editId="6AA4BECC">
                  <wp:extent cx="1223645" cy="967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645" cy="967740"/>
                          </a:xfrm>
                          <a:prstGeom prst="rect">
                            <a:avLst/>
                          </a:prstGeom>
                          <a:noFill/>
                        </pic:spPr>
                      </pic:pic>
                    </a:graphicData>
                  </a:graphic>
                </wp:inline>
              </w:drawing>
            </w:r>
          </w:p>
        </w:tc>
        <w:tc>
          <w:tcPr>
            <w:tcW w:w="1862" w:type="dxa"/>
            <w:vAlign w:val="center"/>
          </w:tcPr>
          <w:p w14:paraId="59551564" w14:textId="78957428" w:rsidR="00835603" w:rsidRDefault="00835603" w:rsidP="00D9584B">
            <w:pPr>
              <w:pStyle w:val="Heading1"/>
              <w:jc w:val="both"/>
              <w:outlineLvl w:val="0"/>
              <w:rPr>
                <w:rFonts w:ascii="Arial" w:eastAsia="Arial" w:hAnsi="Arial" w:cs="Arial"/>
                <w:b/>
                <w:color w:val="auto"/>
                <w:sz w:val="20"/>
                <w:szCs w:val="20"/>
              </w:rPr>
            </w:pPr>
            <w:r>
              <w:rPr>
                <w:noProof/>
              </w:rPr>
              <w:drawing>
                <wp:inline distT="0" distB="0" distL="0" distR="0" wp14:anchorId="189627E8" wp14:editId="4A9928F0">
                  <wp:extent cx="984250" cy="984250"/>
                  <wp:effectExtent l="0" t="0" r="6350" b="6350"/>
                  <wp:docPr id="1" name="Picture 1" descr="C:\Users\WILLIS\AppData\Local\Microsoft\Windows\INetCache\Content.Word\IMG_8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S\AppData\Local\Microsoft\Windows\INetCache\Content.Word\IMG_87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tc>
      </w:tr>
    </w:tbl>
    <w:bookmarkEnd w:id="0"/>
    <w:p w14:paraId="3ABF82F6" w14:textId="3123EB86" w:rsidR="00D9584B" w:rsidRDefault="00D9584B" w:rsidP="00D9584B">
      <w:pPr>
        <w:pStyle w:val="Heading1"/>
        <w:jc w:val="both"/>
        <w:rPr>
          <w:rFonts w:ascii="Arial" w:eastAsia="Arial" w:hAnsi="Arial" w:cs="Arial"/>
          <w:b/>
          <w:color w:val="auto"/>
          <w:sz w:val="20"/>
          <w:szCs w:val="20"/>
        </w:rPr>
      </w:pPr>
      <w:r w:rsidRPr="006D416A">
        <w:rPr>
          <w:rFonts w:ascii="Arial" w:eastAsia="Arial" w:hAnsi="Arial" w:cs="Arial"/>
          <w:b/>
          <w:color w:val="auto"/>
          <w:sz w:val="20"/>
          <w:szCs w:val="20"/>
        </w:rPr>
        <w:t>PRESS RELEASE</w:t>
      </w:r>
    </w:p>
    <w:p w14:paraId="4A0F44C0" w14:textId="54D02C74" w:rsidR="003C3CD6" w:rsidRPr="003C3CD6" w:rsidRDefault="003C3CD6" w:rsidP="003C3CD6">
      <w:pPr>
        <w:rPr>
          <w:rFonts w:ascii="Arial" w:hAnsi="Arial" w:cs="Arial"/>
          <w:sz w:val="20"/>
        </w:rPr>
      </w:pPr>
      <w:r w:rsidRPr="003C3CD6">
        <w:rPr>
          <w:rFonts w:ascii="Arial" w:hAnsi="Arial" w:cs="Arial"/>
          <w:sz w:val="20"/>
        </w:rPr>
        <w:t>2021-122-EN</w:t>
      </w:r>
    </w:p>
    <w:p w14:paraId="600FE3DE" w14:textId="44737BF7" w:rsidR="00D9584B" w:rsidRPr="006D416A" w:rsidRDefault="00D9584B" w:rsidP="00D9584B">
      <w:pPr>
        <w:pStyle w:val="Heading1"/>
        <w:jc w:val="both"/>
        <w:rPr>
          <w:rFonts w:ascii="Arial" w:eastAsia="Arial" w:hAnsi="Arial" w:cs="Arial"/>
          <w:color w:val="auto"/>
          <w:sz w:val="20"/>
          <w:szCs w:val="20"/>
        </w:rPr>
      </w:pPr>
    </w:p>
    <w:p w14:paraId="5CA5A6F2" w14:textId="38C86FAA" w:rsidR="00D9584B" w:rsidRPr="006D416A" w:rsidRDefault="00791617" w:rsidP="00D9584B">
      <w:pPr>
        <w:pStyle w:val="Heading1"/>
        <w:jc w:val="both"/>
        <w:rPr>
          <w:rFonts w:ascii="Arial" w:eastAsia="Arial" w:hAnsi="Arial" w:cs="Arial"/>
          <w:color w:val="auto"/>
          <w:sz w:val="20"/>
          <w:szCs w:val="20"/>
        </w:rPr>
      </w:pPr>
      <w:r>
        <w:rPr>
          <w:rFonts w:ascii="Arial" w:eastAsia="Arial" w:hAnsi="Arial" w:cs="Arial"/>
          <w:color w:val="auto"/>
          <w:sz w:val="20"/>
          <w:szCs w:val="20"/>
        </w:rPr>
        <w:t>14</w:t>
      </w:r>
      <w:r w:rsidRPr="00CA421E">
        <w:rPr>
          <w:rFonts w:ascii="Arial" w:eastAsia="Arial" w:hAnsi="Arial" w:cs="Arial"/>
          <w:color w:val="auto"/>
          <w:sz w:val="20"/>
          <w:szCs w:val="20"/>
          <w:vertAlign w:val="superscript"/>
        </w:rPr>
        <w:t>th</w:t>
      </w:r>
      <w:r>
        <w:rPr>
          <w:rFonts w:ascii="Arial" w:eastAsia="Arial" w:hAnsi="Arial" w:cs="Arial"/>
          <w:color w:val="auto"/>
          <w:sz w:val="20"/>
          <w:szCs w:val="20"/>
        </w:rPr>
        <w:t xml:space="preserve"> </w:t>
      </w:r>
      <w:r w:rsidR="00EE78D2">
        <w:rPr>
          <w:rFonts w:ascii="Arial" w:eastAsia="Arial" w:hAnsi="Arial" w:cs="Arial"/>
          <w:color w:val="auto"/>
          <w:sz w:val="20"/>
          <w:szCs w:val="20"/>
        </w:rPr>
        <w:t>April</w:t>
      </w:r>
      <w:r w:rsidR="00D9584B" w:rsidRPr="006D416A">
        <w:rPr>
          <w:rFonts w:ascii="Arial" w:eastAsia="Arial" w:hAnsi="Arial" w:cs="Arial"/>
          <w:color w:val="auto"/>
          <w:sz w:val="20"/>
          <w:szCs w:val="20"/>
        </w:rPr>
        <w:t>, 202</w:t>
      </w:r>
      <w:r w:rsidR="00CA421E">
        <w:rPr>
          <w:rFonts w:ascii="Arial" w:eastAsia="Arial" w:hAnsi="Arial" w:cs="Arial"/>
          <w:color w:val="auto"/>
          <w:sz w:val="20"/>
          <w:szCs w:val="20"/>
        </w:rPr>
        <w:t>1</w:t>
      </w:r>
    </w:p>
    <w:p w14:paraId="5A026FF3" w14:textId="77777777" w:rsidR="00D9584B" w:rsidRPr="00EE78D2" w:rsidRDefault="00D9584B" w:rsidP="00D9584B">
      <w:pPr>
        <w:jc w:val="both"/>
        <w:rPr>
          <w:rFonts w:ascii="Arial" w:eastAsia="Arial" w:hAnsi="Arial" w:cs="Arial"/>
          <w:sz w:val="20"/>
          <w:szCs w:val="20"/>
        </w:rPr>
      </w:pPr>
    </w:p>
    <w:p w14:paraId="2A8D958B" w14:textId="37A1E6E2" w:rsidR="00D9584B" w:rsidRPr="00835603" w:rsidRDefault="007D2438" w:rsidP="00C801D2">
      <w:pPr>
        <w:jc w:val="both"/>
        <w:rPr>
          <w:rFonts w:ascii="Arial" w:hAnsi="Arial" w:cs="Arial"/>
          <w:b/>
          <w:bCs/>
          <w:szCs w:val="20"/>
        </w:rPr>
      </w:pPr>
      <w:r w:rsidRPr="00835603">
        <w:rPr>
          <w:rFonts w:ascii="Arial" w:hAnsi="Arial" w:cs="Arial"/>
          <w:b/>
          <w:bCs/>
          <w:szCs w:val="20"/>
        </w:rPr>
        <w:t xml:space="preserve">EIB confirms </w:t>
      </w:r>
      <w:r w:rsidR="00D9584B" w:rsidRPr="00835603">
        <w:rPr>
          <w:rFonts w:ascii="Arial" w:hAnsi="Arial" w:cs="Arial"/>
          <w:b/>
          <w:bCs/>
          <w:szCs w:val="20"/>
        </w:rPr>
        <w:t>EUR 24 million support to strengthen research, education, and public health at Bucharest University of Medicine and Pharmacy</w:t>
      </w:r>
      <w:r w:rsidRPr="00835603">
        <w:rPr>
          <w:rFonts w:ascii="Arial" w:hAnsi="Arial" w:cs="Arial"/>
          <w:b/>
          <w:bCs/>
          <w:szCs w:val="20"/>
        </w:rPr>
        <w:t xml:space="preserve"> and </w:t>
      </w:r>
      <w:r w:rsidR="00EE78D2" w:rsidRPr="00835603">
        <w:rPr>
          <w:rFonts w:ascii="Arial" w:hAnsi="Arial" w:cs="Arial"/>
          <w:b/>
          <w:bCs/>
          <w:szCs w:val="20"/>
        </w:rPr>
        <w:t xml:space="preserve">outlines </w:t>
      </w:r>
      <w:r w:rsidR="00A13A2F" w:rsidRPr="00835603">
        <w:rPr>
          <w:rFonts w:ascii="Arial" w:hAnsi="Arial" w:cs="Arial"/>
          <w:b/>
          <w:bCs/>
          <w:szCs w:val="20"/>
        </w:rPr>
        <w:t xml:space="preserve">Romania </w:t>
      </w:r>
      <w:r w:rsidR="00EE78D2" w:rsidRPr="00835603">
        <w:rPr>
          <w:rFonts w:ascii="Arial" w:hAnsi="Arial" w:cs="Arial"/>
          <w:b/>
          <w:bCs/>
          <w:szCs w:val="20"/>
        </w:rPr>
        <w:t>higher education investment scheme</w:t>
      </w:r>
    </w:p>
    <w:p w14:paraId="14AECE4A" w14:textId="77777777" w:rsidR="00D9584B" w:rsidRPr="00005F54" w:rsidRDefault="00D9584B" w:rsidP="00D9584B">
      <w:pPr>
        <w:pStyle w:val="ListParagraph"/>
        <w:spacing w:after="200" w:line="275" w:lineRule="auto"/>
        <w:contextualSpacing/>
        <w:rPr>
          <w:rFonts w:cs="Arial"/>
        </w:rPr>
      </w:pPr>
    </w:p>
    <w:p w14:paraId="112CA9BA" w14:textId="0EA2B708" w:rsidR="00D9584B" w:rsidRPr="00005F54" w:rsidRDefault="00D9584B" w:rsidP="00D9584B">
      <w:pPr>
        <w:pStyle w:val="ListParagraph"/>
        <w:numPr>
          <w:ilvl w:val="0"/>
          <w:numId w:val="1"/>
        </w:numPr>
        <w:spacing w:after="200" w:line="275" w:lineRule="auto"/>
        <w:contextualSpacing/>
        <w:rPr>
          <w:rFonts w:cs="Arial"/>
        </w:rPr>
      </w:pPr>
      <w:r w:rsidRPr="00005F54">
        <w:rPr>
          <w:rFonts w:cs="Arial"/>
        </w:rPr>
        <w:t xml:space="preserve">Long-term EIB loan to </w:t>
      </w:r>
      <w:r w:rsidR="00296BED" w:rsidRPr="00005F54">
        <w:rPr>
          <w:rFonts w:cs="Arial"/>
        </w:rPr>
        <w:t xml:space="preserve">enhance </w:t>
      </w:r>
      <w:r w:rsidRPr="00005F54">
        <w:rPr>
          <w:rFonts w:cs="Arial"/>
        </w:rPr>
        <w:t>research and teaching at Romania’s leading medical school</w:t>
      </w:r>
    </w:p>
    <w:p w14:paraId="79780AED" w14:textId="5D6439FA" w:rsidR="00D9584B" w:rsidRPr="00005F54" w:rsidRDefault="00D9584B" w:rsidP="00D9584B">
      <w:pPr>
        <w:pStyle w:val="ListParagraph"/>
        <w:numPr>
          <w:ilvl w:val="0"/>
          <w:numId w:val="1"/>
        </w:numPr>
        <w:spacing w:after="200" w:line="275" w:lineRule="auto"/>
        <w:contextualSpacing/>
        <w:rPr>
          <w:rFonts w:cs="Arial"/>
        </w:rPr>
      </w:pPr>
      <w:r w:rsidRPr="00005F54">
        <w:rPr>
          <w:rFonts w:cs="Arial"/>
        </w:rPr>
        <w:t>Second loan under</w:t>
      </w:r>
      <w:r w:rsidR="00296BED" w:rsidRPr="00005F54">
        <w:rPr>
          <w:rFonts w:cs="Arial"/>
        </w:rPr>
        <w:t xml:space="preserve"> the</w:t>
      </w:r>
      <w:r w:rsidRPr="00005F54">
        <w:rPr>
          <w:rFonts w:cs="Arial"/>
        </w:rPr>
        <w:t xml:space="preserve"> EUR 100 million EIB streamlined financing scheme </w:t>
      </w:r>
      <w:r w:rsidR="00296BED" w:rsidRPr="00005F54">
        <w:rPr>
          <w:rFonts w:cs="Arial"/>
        </w:rPr>
        <w:t>for Romanian higher education</w:t>
      </w:r>
    </w:p>
    <w:p w14:paraId="0D481572" w14:textId="59233D8C" w:rsidR="00D9584B" w:rsidRPr="00005F54" w:rsidRDefault="00D9584B" w:rsidP="00D9584B">
      <w:pPr>
        <w:pStyle w:val="ListParagraph"/>
        <w:numPr>
          <w:ilvl w:val="0"/>
          <w:numId w:val="1"/>
        </w:numPr>
        <w:spacing w:after="200" w:line="275" w:lineRule="auto"/>
        <w:contextualSpacing/>
        <w:rPr>
          <w:rFonts w:cs="Arial"/>
        </w:rPr>
      </w:pPr>
      <w:r w:rsidRPr="00005F54">
        <w:rPr>
          <w:rFonts w:cs="Arial"/>
        </w:rPr>
        <w:t>New investment</w:t>
      </w:r>
      <w:r w:rsidR="00A13A2F">
        <w:rPr>
          <w:rFonts w:cs="Arial"/>
        </w:rPr>
        <w:t>s</w:t>
      </w:r>
      <w:r w:rsidRPr="00005F54">
        <w:rPr>
          <w:rFonts w:cs="Arial"/>
        </w:rPr>
        <w:t xml:space="preserve"> </w:t>
      </w:r>
      <w:r w:rsidR="00296BED" w:rsidRPr="00005F54">
        <w:rPr>
          <w:rFonts w:cs="Arial"/>
        </w:rPr>
        <w:t xml:space="preserve">will contribute to </w:t>
      </w:r>
      <w:r w:rsidRPr="00005F54">
        <w:rPr>
          <w:rFonts w:cs="Arial"/>
        </w:rPr>
        <w:t>upgrad</w:t>
      </w:r>
      <w:r w:rsidR="00296BED" w:rsidRPr="00005F54">
        <w:rPr>
          <w:rFonts w:cs="Arial"/>
        </w:rPr>
        <w:t>ing</w:t>
      </w:r>
      <w:r w:rsidRPr="00005F54">
        <w:rPr>
          <w:rFonts w:cs="Arial"/>
        </w:rPr>
        <w:t xml:space="preserve"> medical research, creat</w:t>
      </w:r>
      <w:r w:rsidR="00296BED" w:rsidRPr="00005F54">
        <w:rPr>
          <w:rFonts w:cs="Arial"/>
        </w:rPr>
        <w:t>ing</w:t>
      </w:r>
      <w:r w:rsidRPr="00005F54">
        <w:rPr>
          <w:rFonts w:cs="Arial"/>
        </w:rPr>
        <w:t xml:space="preserve"> skilled jobs and improv</w:t>
      </w:r>
      <w:r w:rsidR="00296BED" w:rsidRPr="00005F54">
        <w:rPr>
          <w:rFonts w:cs="Arial"/>
        </w:rPr>
        <w:t>ing</w:t>
      </w:r>
      <w:r w:rsidRPr="00005F54">
        <w:rPr>
          <w:rFonts w:cs="Arial"/>
        </w:rPr>
        <w:t xml:space="preserve"> energy efficiency</w:t>
      </w:r>
    </w:p>
    <w:p w14:paraId="305726AD" w14:textId="37FD0EB5" w:rsidR="00D9584B" w:rsidRPr="00005F54" w:rsidRDefault="00D9584B" w:rsidP="00D9584B">
      <w:pPr>
        <w:pStyle w:val="ListParagraph"/>
        <w:numPr>
          <w:ilvl w:val="0"/>
          <w:numId w:val="1"/>
        </w:numPr>
        <w:spacing w:after="200" w:line="275" w:lineRule="auto"/>
        <w:contextualSpacing/>
        <w:rPr>
          <w:rFonts w:cs="Arial"/>
        </w:rPr>
      </w:pPr>
      <w:r w:rsidRPr="00005F54">
        <w:rPr>
          <w:rFonts w:cs="Arial"/>
        </w:rPr>
        <w:t>Investment</w:t>
      </w:r>
      <w:r w:rsidR="00A13A2F">
        <w:rPr>
          <w:rFonts w:cs="Arial"/>
        </w:rPr>
        <w:t>s</w:t>
      </w:r>
      <w:r w:rsidRPr="00005F54">
        <w:rPr>
          <w:rFonts w:cs="Arial"/>
        </w:rPr>
        <w:t xml:space="preserve"> to strengthen public health resilience in Romania and address challenges highlighted by COVID-19 </w:t>
      </w:r>
    </w:p>
    <w:p w14:paraId="7588CE45" w14:textId="2357A711" w:rsidR="00F77C29" w:rsidRPr="00005F54" w:rsidRDefault="00D9584B" w:rsidP="004209AC">
      <w:pPr>
        <w:jc w:val="both"/>
        <w:rPr>
          <w:rFonts w:ascii="Arial" w:eastAsia="Arial" w:hAnsi="Arial" w:cs="Arial"/>
          <w:sz w:val="20"/>
          <w:szCs w:val="20"/>
        </w:rPr>
      </w:pPr>
      <w:r w:rsidRPr="00005F54">
        <w:rPr>
          <w:rFonts w:ascii="Arial" w:eastAsia="Arial" w:hAnsi="Arial" w:cs="Arial"/>
          <w:sz w:val="20"/>
          <w:szCs w:val="20"/>
        </w:rPr>
        <w:t>The European Investment Bank has agreed a new EUR 24 million loan to enhance research, academic and student facilities at the "Carol Davila" University of Medicine and Pharmacy</w:t>
      </w:r>
      <w:r w:rsidR="00EE78D2">
        <w:rPr>
          <w:rFonts w:ascii="Arial" w:eastAsia="Arial" w:hAnsi="Arial" w:cs="Arial"/>
          <w:sz w:val="20"/>
          <w:szCs w:val="20"/>
        </w:rPr>
        <w:t xml:space="preserve"> in Bucharest. This is part of the EIB’s EUR 100 million higher education investment initiative to support university investment</w:t>
      </w:r>
      <w:r w:rsidR="00A13A2F">
        <w:rPr>
          <w:rFonts w:ascii="Arial" w:eastAsia="Arial" w:hAnsi="Arial" w:cs="Arial"/>
          <w:sz w:val="20"/>
          <w:szCs w:val="20"/>
        </w:rPr>
        <w:t>s</w:t>
      </w:r>
      <w:r w:rsidR="00EE78D2">
        <w:rPr>
          <w:rFonts w:ascii="Arial" w:eastAsia="Arial" w:hAnsi="Arial" w:cs="Arial"/>
          <w:sz w:val="20"/>
          <w:szCs w:val="20"/>
        </w:rPr>
        <w:t xml:space="preserve"> in Romania.</w:t>
      </w:r>
      <w:r w:rsidR="000E16B0">
        <w:rPr>
          <w:rFonts w:ascii="Arial" w:eastAsia="Arial" w:hAnsi="Arial" w:cs="Arial"/>
          <w:sz w:val="20"/>
          <w:szCs w:val="20"/>
        </w:rPr>
        <w:t xml:space="preserve"> </w:t>
      </w:r>
    </w:p>
    <w:p w14:paraId="63EA4296" w14:textId="109C5B84" w:rsidR="00F77C29" w:rsidRPr="00005F54" w:rsidRDefault="00F77C29" w:rsidP="004209AC">
      <w:pPr>
        <w:jc w:val="both"/>
        <w:rPr>
          <w:rFonts w:ascii="Arial" w:eastAsia="Arial" w:hAnsi="Arial" w:cs="Arial"/>
          <w:sz w:val="20"/>
          <w:szCs w:val="20"/>
        </w:rPr>
      </w:pPr>
    </w:p>
    <w:p w14:paraId="63F21A83" w14:textId="06F1DB64" w:rsidR="00053AE0" w:rsidRDefault="00F77C29" w:rsidP="004209AC">
      <w:pPr>
        <w:jc w:val="both"/>
        <w:rPr>
          <w:rFonts w:ascii="Arial" w:eastAsia="Arial" w:hAnsi="Arial" w:cs="Arial"/>
          <w:sz w:val="20"/>
          <w:szCs w:val="20"/>
        </w:rPr>
      </w:pPr>
      <w:r w:rsidRPr="00005F54">
        <w:rPr>
          <w:rFonts w:ascii="Arial" w:eastAsia="Arial" w:hAnsi="Arial" w:cs="Arial"/>
          <w:sz w:val="20"/>
          <w:szCs w:val="20"/>
        </w:rPr>
        <w:t xml:space="preserve">The </w:t>
      </w:r>
      <w:r w:rsidR="00053AE0" w:rsidRPr="00005F54">
        <w:rPr>
          <w:rFonts w:ascii="Arial" w:eastAsia="Arial" w:hAnsi="Arial" w:cs="Arial"/>
          <w:sz w:val="20"/>
          <w:szCs w:val="20"/>
        </w:rPr>
        <w:t xml:space="preserve">25 year </w:t>
      </w:r>
      <w:r w:rsidRPr="00005F54">
        <w:rPr>
          <w:rFonts w:ascii="Arial" w:eastAsia="Arial" w:hAnsi="Arial" w:cs="Arial"/>
          <w:sz w:val="20"/>
          <w:szCs w:val="20"/>
        </w:rPr>
        <w:t xml:space="preserve">long-term financing </w:t>
      </w:r>
      <w:r w:rsidR="00053AE0" w:rsidRPr="00005F54">
        <w:rPr>
          <w:rFonts w:ascii="Arial" w:eastAsia="Arial" w:hAnsi="Arial" w:cs="Arial"/>
          <w:sz w:val="20"/>
          <w:szCs w:val="20"/>
        </w:rPr>
        <w:t xml:space="preserve">EIB </w:t>
      </w:r>
      <w:r w:rsidRPr="00005F54">
        <w:rPr>
          <w:rFonts w:ascii="Arial" w:eastAsia="Arial" w:hAnsi="Arial" w:cs="Arial"/>
          <w:sz w:val="20"/>
          <w:szCs w:val="20"/>
        </w:rPr>
        <w:t>will support EUR 48 million of new investment</w:t>
      </w:r>
      <w:r w:rsidR="00296BED" w:rsidRPr="00005F54">
        <w:rPr>
          <w:rFonts w:ascii="Arial" w:eastAsia="Arial" w:hAnsi="Arial" w:cs="Arial"/>
          <w:sz w:val="20"/>
          <w:szCs w:val="20"/>
        </w:rPr>
        <w:t>s</w:t>
      </w:r>
      <w:r w:rsidRPr="00005F54">
        <w:rPr>
          <w:rFonts w:ascii="Arial" w:eastAsia="Arial" w:hAnsi="Arial" w:cs="Arial"/>
          <w:sz w:val="20"/>
          <w:szCs w:val="20"/>
        </w:rPr>
        <w:t xml:space="preserve"> to upgrade facilities at Romania’s largest medical school, significantly transform</w:t>
      </w:r>
      <w:r w:rsidR="00296BED" w:rsidRPr="00005F54">
        <w:rPr>
          <w:rFonts w:ascii="Arial" w:eastAsia="Arial" w:hAnsi="Arial" w:cs="Arial"/>
          <w:sz w:val="20"/>
          <w:szCs w:val="20"/>
        </w:rPr>
        <w:t>ing</w:t>
      </w:r>
      <w:r w:rsidRPr="00005F54">
        <w:rPr>
          <w:rFonts w:ascii="Arial" w:eastAsia="Arial" w:hAnsi="Arial" w:cs="Arial"/>
          <w:sz w:val="20"/>
          <w:szCs w:val="20"/>
        </w:rPr>
        <w:t xml:space="preserve"> medical research capabilities. </w:t>
      </w:r>
      <w:r w:rsidR="006D416A" w:rsidRPr="00005F54">
        <w:rPr>
          <w:rFonts w:ascii="Arial" w:eastAsia="Arial" w:hAnsi="Arial" w:cs="Arial"/>
          <w:sz w:val="20"/>
          <w:szCs w:val="20"/>
        </w:rPr>
        <w:t>Investment include</w:t>
      </w:r>
      <w:r w:rsidR="00EE78D2">
        <w:rPr>
          <w:rFonts w:ascii="Arial" w:eastAsia="Arial" w:hAnsi="Arial" w:cs="Arial"/>
          <w:sz w:val="20"/>
          <w:szCs w:val="20"/>
        </w:rPr>
        <w:t>s</w:t>
      </w:r>
      <w:r w:rsidR="006D416A" w:rsidRPr="00005F54">
        <w:rPr>
          <w:rFonts w:ascii="Arial" w:eastAsia="Arial" w:hAnsi="Arial" w:cs="Arial"/>
          <w:sz w:val="20"/>
          <w:szCs w:val="20"/>
        </w:rPr>
        <w:t xml:space="preserve"> refurbishment of the Faculty of Medicine and construction of two </w:t>
      </w:r>
      <w:r w:rsidR="00EE78D2" w:rsidRPr="00005F54">
        <w:rPr>
          <w:rFonts w:ascii="Arial" w:eastAsia="Arial" w:hAnsi="Arial" w:cs="Arial"/>
          <w:sz w:val="20"/>
          <w:szCs w:val="20"/>
        </w:rPr>
        <w:t>new-dedicated</w:t>
      </w:r>
      <w:r w:rsidR="006D416A" w:rsidRPr="00005F54">
        <w:rPr>
          <w:rFonts w:ascii="Arial" w:eastAsia="Arial" w:hAnsi="Arial" w:cs="Arial"/>
          <w:sz w:val="20"/>
          <w:szCs w:val="20"/>
        </w:rPr>
        <w:t xml:space="preserve"> medical research centres. The EIB financing will also support energy investment work across the university campus.</w:t>
      </w:r>
    </w:p>
    <w:p w14:paraId="077A4A0C" w14:textId="7977631B" w:rsidR="00634A8F" w:rsidRDefault="00634A8F" w:rsidP="004209AC">
      <w:pPr>
        <w:jc w:val="both"/>
        <w:rPr>
          <w:rFonts w:ascii="Arial" w:eastAsia="Arial" w:hAnsi="Arial" w:cs="Arial"/>
          <w:sz w:val="20"/>
          <w:szCs w:val="20"/>
        </w:rPr>
      </w:pPr>
    </w:p>
    <w:p w14:paraId="7421FE36" w14:textId="5F6D0A0F" w:rsidR="00634A8F" w:rsidRPr="00005F54" w:rsidRDefault="00634A8F" w:rsidP="004209AC">
      <w:pPr>
        <w:jc w:val="both"/>
        <w:rPr>
          <w:rFonts w:ascii="Arial" w:eastAsia="Arial" w:hAnsi="Arial" w:cs="Arial"/>
          <w:sz w:val="20"/>
          <w:szCs w:val="20"/>
        </w:rPr>
      </w:pPr>
      <w:r>
        <w:rPr>
          <w:rFonts w:ascii="Arial" w:eastAsia="Arial" w:hAnsi="Arial" w:cs="Arial"/>
          <w:sz w:val="20"/>
          <w:szCs w:val="20"/>
        </w:rPr>
        <w:t xml:space="preserve">The new EIB loan to the </w:t>
      </w:r>
      <w:r w:rsidRPr="00005F54">
        <w:rPr>
          <w:rFonts w:ascii="Arial" w:eastAsia="Arial" w:hAnsi="Arial" w:cs="Arial"/>
          <w:sz w:val="20"/>
          <w:szCs w:val="20"/>
        </w:rPr>
        <w:t>"Carol Davila" University of Medicine and Pharmacy</w:t>
      </w:r>
      <w:r>
        <w:rPr>
          <w:rFonts w:ascii="Arial" w:eastAsia="Arial" w:hAnsi="Arial" w:cs="Arial"/>
          <w:sz w:val="20"/>
          <w:szCs w:val="20"/>
        </w:rPr>
        <w:t xml:space="preserve"> in Bucharest and the EIB’s commitment to transform research and education investment at other higher education institutions in Romania was announced during</w:t>
      </w:r>
      <w:r w:rsidR="00A4326F">
        <w:rPr>
          <w:rFonts w:ascii="Arial" w:eastAsia="Arial" w:hAnsi="Arial" w:cs="Arial"/>
          <w:sz w:val="20"/>
          <w:szCs w:val="20"/>
        </w:rPr>
        <w:t xml:space="preserve"> a virtual event earlier today. The opportunities provided by long-term EIB financing for higher education </w:t>
      </w:r>
      <w:proofErr w:type="gramStart"/>
      <w:r w:rsidR="00A4326F">
        <w:rPr>
          <w:rFonts w:ascii="Arial" w:eastAsia="Arial" w:hAnsi="Arial" w:cs="Arial"/>
          <w:sz w:val="20"/>
          <w:szCs w:val="20"/>
        </w:rPr>
        <w:t>were highlighted</w:t>
      </w:r>
      <w:proofErr w:type="gramEnd"/>
      <w:r w:rsidR="00A4326F">
        <w:rPr>
          <w:rFonts w:ascii="Arial" w:eastAsia="Arial" w:hAnsi="Arial" w:cs="Arial"/>
          <w:sz w:val="20"/>
          <w:szCs w:val="20"/>
        </w:rPr>
        <w:t xml:space="preserve"> by </w:t>
      </w:r>
      <w:r w:rsidR="00A13A2F" w:rsidRPr="00C801D2">
        <w:rPr>
          <w:rFonts w:ascii="Arial" w:eastAsia="Arial" w:hAnsi="Arial" w:cs="Arial"/>
          <w:sz w:val="20"/>
          <w:szCs w:val="20"/>
        </w:rPr>
        <w:t>Viorel Jinga</w:t>
      </w:r>
      <w:r w:rsidR="00A4326F">
        <w:rPr>
          <w:rFonts w:ascii="Arial" w:eastAsia="Arial" w:hAnsi="Arial" w:cs="Arial"/>
          <w:sz w:val="20"/>
          <w:szCs w:val="20"/>
        </w:rPr>
        <w:t xml:space="preserve">, </w:t>
      </w:r>
      <w:r w:rsidR="00A4326F" w:rsidRPr="00BD0542">
        <w:rPr>
          <w:rFonts w:ascii="Arial" w:eastAsia="Arial" w:hAnsi="Arial" w:cs="Arial"/>
          <w:sz w:val="20"/>
          <w:szCs w:val="20"/>
        </w:rPr>
        <w:t xml:space="preserve">Rector of the "Carol Davila" University of Medicine and Pharmacy, </w:t>
      </w:r>
      <w:proofErr w:type="spellStart"/>
      <w:r w:rsidR="00A13A2F" w:rsidRPr="00A13A2F">
        <w:rPr>
          <w:rFonts w:ascii="Arial" w:eastAsia="Arial" w:hAnsi="Arial" w:cs="Arial"/>
          <w:sz w:val="20"/>
          <w:szCs w:val="20"/>
        </w:rPr>
        <w:t>Vasile</w:t>
      </w:r>
      <w:proofErr w:type="spellEnd"/>
      <w:r w:rsidR="00A13A2F" w:rsidRPr="00A13A2F">
        <w:rPr>
          <w:rFonts w:ascii="Arial" w:eastAsia="Arial" w:hAnsi="Arial" w:cs="Arial"/>
          <w:sz w:val="20"/>
          <w:szCs w:val="20"/>
        </w:rPr>
        <w:t xml:space="preserve"> </w:t>
      </w:r>
      <w:proofErr w:type="spellStart"/>
      <w:r w:rsidR="00A13A2F" w:rsidRPr="00A13A2F">
        <w:rPr>
          <w:rFonts w:ascii="Arial" w:eastAsia="Arial" w:hAnsi="Arial" w:cs="Arial"/>
          <w:sz w:val="20"/>
          <w:szCs w:val="20"/>
        </w:rPr>
        <w:t>Țopa</w:t>
      </w:r>
      <w:proofErr w:type="spellEnd"/>
      <w:r w:rsidR="00A13A2F">
        <w:rPr>
          <w:rFonts w:ascii="Arial" w:eastAsia="Arial" w:hAnsi="Arial" w:cs="Arial"/>
          <w:sz w:val="20"/>
          <w:szCs w:val="20"/>
        </w:rPr>
        <w:t>,</w:t>
      </w:r>
      <w:r w:rsidR="00A13A2F" w:rsidRPr="00BD0542" w:rsidDel="00A13A2F">
        <w:rPr>
          <w:rFonts w:ascii="Arial" w:eastAsia="Arial" w:hAnsi="Arial" w:cs="Arial"/>
          <w:color w:val="FF0000"/>
          <w:sz w:val="20"/>
          <w:szCs w:val="20"/>
        </w:rPr>
        <w:t xml:space="preserve"> </w:t>
      </w:r>
      <w:r w:rsidR="00A4326F">
        <w:rPr>
          <w:rFonts w:ascii="Arial" w:eastAsia="Arial" w:hAnsi="Arial" w:cs="Arial"/>
          <w:sz w:val="20"/>
          <w:szCs w:val="20"/>
        </w:rPr>
        <w:t xml:space="preserve">Rector of </w:t>
      </w:r>
      <w:r w:rsidR="00A4326F" w:rsidRPr="00005F54">
        <w:rPr>
          <w:rFonts w:ascii="Arial" w:eastAsia="Arial" w:hAnsi="Arial" w:cs="Arial"/>
          <w:sz w:val="20"/>
          <w:szCs w:val="20"/>
        </w:rPr>
        <w:t>Technical University of Cluj-Napoca</w:t>
      </w:r>
      <w:r w:rsidR="00A4326F">
        <w:rPr>
          <w:rFonts w:ascii="Arial" w:eastAsia="Arial" w:hAnsi="Arial" w:cs="Arial"/>
          <w:sz w:val="20"/>
          <w:szCs w:val="20"/>
        </w:rPr>
        <w:t>,</w:t>
      </w:r>
      <w:r w:rsidR="00A13A2F" w:rsidRPr="00A13A2F">
        <w:rPr>
          <w:rFonts w:ascii="Arial" w:eastAsia="Arial" w:hAnsi="Arial" w:cs="Arial"/>
          <w:sz w:val="20"/>
          <w:szCs w:val="20"/>
        </w:rPr>
        <w:t xml:space="preserve"> </w:t>
      </w:r>
      <w:proofErr w:type="spellStart"/>
      <w:r w:rsidR="00A13A2F" w:rsidRPr="0069430B">
        <w:rPr>
          <w:rFonts w:ascii="Arial" w:eastAsia="Arial" w:hAnsi="Arial" w:cs="Arial"/>
          <w:sz w:val="20"/>
          <w:szCs w:val="20"/>
        </w:rPr>
        <w:t>Mihnea</w:t>
      </w:r>
      <w:proofErr w:type="spellEnd"/>
      <w:r w:rsidR="00A13A2F" w:rsidRPr="0069430B">
        <w:rPr>
          <w:rFonts w:ascii="Arial" w:eastAsia="Arial" w:hAnsi="Arial" w:cs="Arial"/>
          <w:sz w:val="20"/>
          <w:szCs w:val="20"/>
        </w:rPr>
        <w:t xml:space="preserve"> </w:t>
      </w:r>
      <w:proofErr w:type="spellStart"/>
      <w:r w:rsidR="00A13A2F" w:rsidRPr="0069430B">
        <w:rPr>
          <w:rFonts w:ascii="Arial" w:eastAsia="Arial" w:hAnsi="Arial" w:cs="Arial"/>
          <w:sz w:val="20"/>
          <w:szCs w:val="20"/>
        </w:rPr>
        <w:t>Costoiu</w:t>
      </w:r>
      <w:proofErr w:type="spellEnd"/>
      <w:r w:rsidR="00A13A2F">
        <w:rPr>
          <w:rFonts w:ascii="Arial" w:eastAsia="Arial" w:hAnsi="Arial" w:cs="Arial"/>
          <w:sz w:val="20"/>
          <w:szCs w:val="20"/>
        </w:rPr>
        <w:t>,</w:t>
      </w:r>
      <w:r w:rsidR="00A4326F">
        <w:rPr>
          <w:rFonts w:ascii="Arial" w:eastAsia="Arial" w:hAnsi="Arial" w:cs="Arial"/>
          <w:sz w:val="20"/>
          <w:szCs w:val="20"/>
        </w:rPr>
        <w:t xml:space="preserve"> Rector of </w:t>
      </w:r>
      <w:r w:rsidR="00A13A2F">
        <w:rPr>
          <w:rFonts w:ascii="Arial" w:eastAsia="Arial" w:hAnsi="Arial" w:cs="Arial"/>
          <w:sz w:val="20"/>
          <w:szCs w:val="20"/>
        </w:rPr>
        <w:t xml:space="preserve">the </w:t>
      </w:r>
      <w:r w:rsidR="00523DC3" w:rsidRPr="00DC6B76">
        <w:rPr>
          <w:rFonts w:ascii="Arial" w:eastAsia="Arial" w:hAnsi="Arial" w:cs="Arial"/>
          <w:sz w:val="20"/>
          <w:szCs w:val="20"/>
        </w:rPr>
        <w:t xml:space="preserve">University </w:t>
      </w:r>
      <w:proofErr w:type="spellStart"/>
      <w:r w:rsidR="00523DC3" w:rsidRPr="00DC6B76">
        <w:rPr>
          <w:rFonts w:ascii="Arial" w:eastAsia="Arial" w:hAnsi="Arial" w:cs="Arial"/>
          <w:sz w:val="20"/>
          <w:szCs w:val="20"/>
        </w:rPr>
        <w:t>Politehnica</w:t>
      </w:r>
      <w:proofErr w:type="spellEnd"/>
      <w:r w:rsidR="00523DC3" w:rsidRPr="00DC6B76">
        <w:rPr>
          <w:rFonts w:ascii="Arial" w:eastAsia="Arial" w:hAnsi="Arial" w:cs="Arial"/>
          <w:sz w:val="20"/>
          <w:szCs w:val="20"/>
        </w:rPr>
        <w:t xml:space="preserve"> of Bucharest</w:t>
      </w:r>
      <w:r w:rsidR="00523DC3" w:rsidRPr="00634A8F" w:rsidDel="00523DC3">
        <w:rPr>
          <w:rFonts w:ascii="Arial" w:eastAsia="Arial" w:hAnsi="Arial" w:cs="Arial"/>
          <w:sz w:val="20"/>
          <w:szCs w:val="20"/>
        </w:rPr>
        <w:t xml:space="preserve"> </w:t>
      </w:r>
      <w:r w:rsidR="00A4326F">
        <w:rPr>
          <w:rFonts w:ascii="Arial" w:eastAsia="Arial" w:hAnsi="Arial" w:cs="Arial"/>
          <w:sz w:val="20"/>
          <w:szCs w:val="20"/>
        </w:rPr>
        <w:t xml:space="preserve">and </w:t>
      </w:r>
      <w:r w:rsidR="00A4326F" w:rsidRPr="00005F54">
        <w:rPr>
          <w:rFonts w:ascii="Arial" w:eastAsia="Arial" w:hAnsi="Arial" w:cs="Arial"/>
          <w:sz w:val="20"/>
          <w:szCs w:val="20"/>
        </w:rPr>
        <w:t>Christian Kettel Thomsen, European Investment Bank Vice President responsible for Romania.</w:t>
      </w:r>
    </w:p>
    <w:p w14:paraId="42921CFA" w14:textId="77777777" w:rsidR="00D9584B" w:rsidRPr="00005F54" w:rsidRDefault="00D9584B" w:rsidP="00D9584B">
      <w:pPr>
        <w:jc w:val="both"/>
        <w:rPr>
          <w:rFonts w:ascii="Arial" w:eastAsia="Arial" w:hAnsi="Arial" w:cs="Arial"/>
          <w:sz w:val="20"/>
          <w:szCs w:val="20"/>
        </w:rPr>
      </w:pPr>
    </w:p>
    <w:p w14:paraId="7F6CD6AD" w14:textId="00CF189D" w:rsidR="004E1C0C" w:rsidRPr="00C801D2" w:rsidRDefault="004E1C0C" w:rsidP="00005F54">
      <w:pPr>
        <w:jc w:val="both"/>
        <w:rPr>
          <w:rFonts w:ascii="Arial" w:hAnsi="Arial" w:cs="Arial"/>
          <w:sz w:val="20"/>
          <w:szCs w:val="20"/>
        </w:rPr>
      </w:pPr>
      <w:r w:rsidRPr="00C801D2">
        <w:rPr>
          <w:rFonts w:ascii="Arial" w:hAnsi="Arial" w:cs="Arial"/>
          <w:sz w:val="20"/>
          <w:szCs w:val="20"/>
        </w:rPr>
        <w:t>The European Investment Bank is a key partner for the higher education</w:t>
      </w:r>
      <w:r w:rsidR="00835AC8">
        <w:rPr>
          <w:rFonts w:ascii="Arial" w:hAnsi="Arial" w:cs="Arial"/>
          <w:sz w:val="20"/>
          <w:szCs w:val="20"/>
        </w:rPr>
        <w:t xml:space="preserve"> sector</w:t>
      </w:r>
      <w:r w:rsidRPr="00C801D2">
        <w:rPr>
          <w:rFonts w:ascii="Arial" w:hAnsi="Arial" w:cs="Arial"/>
          <w:sz w:val="20"/>
          <w:szCs w:val="20"/>
        </w:rPr>
        <w:t xml:space="preserve"> in Romania.  The financial and technical support provided </w:t>
      </w:r>
      <w:proofErr w:type="gramStart"/>
      <w:r w:rsidRPr="00C801D2">
        <w:rPr>
          <w:rFonts w:ascii="Arial" w:hAnsi="Arial" w:cs="Arial"/>
          <w:sz w:val="20"/>
          <w:szCs w:val="20"/>
        </w:rPr>
        <w:t>is addressed</w:t>
      </w:r>
      <w:proofErr w:type="gramEnd"/>
      <w:r w:rsidRPr="00C801D2">
        <w:rPr>
          <w:rFonts w:ascii="Arial" w:hAnsi="Arial" w:cs="Arial"/>
          <w:sz w:val="20"/>
          <w:szCs w:val="20"/>
        </w:rPr>
        <w:t xml:space="preserve"> for the first time to a specialized higher education institution in the medical sector - University of Medicine and Pharmacy "Carol Davila" in Bucharest. The new loa</w:t>
      </w:r>
      <w:r w:rsidR="00BD7D68">
        <w:rPr>
          <w:rFonts w:ascii="Arial" w:hAnsi="Arial" w:cs="Arial"/>
          <w:sz w:val="20"/>
          <w:szCs w:val="20"/>
        </w:rPr>
        <w:t>n</w:t>
      </w:r>
      <w:r w:rsidR="00D77778">
        <w:rPr>
          <w:rFonts w:ascii="Arial" w:hAnsi="Arial" w:cs="Arial"/>
          <w:sz w:val="20"/>
          <w:szCs w:val="20"/>
        </w:rPr>
        <w:t xml:space="preserve"> </w:t>
      </w:r>
      <w:r w:rsidRPr="00C801D2">
        <w:rPr>
          <w:rFonts w:ascii="Arial" w:hAnsi="Arial" w:cs="Arial"/>
          <w:sz w:val="20"/>
          <w:szCs w:val="20"/>
        </w:rPr>
        <w:t xml:space="preserve">will transform the learning environment, support the education of thousands of students, </w:t>
      </w:r>
      <w:r w:rsidR="00791617" w:rsidRPr="004E1C0C">
        <w:rPr>
          <w:rFonts w:ascii="Arial" w:hAnsi="Arial" w:cs="Arial"/>
          <w:sz w:val="20"/>
          <w:szCs w:val="20"/>
        </w:rPr>
        <w:t>and strengthen</w:t>
      </w:r>
      <w:r w:rsidRPr="00C801D2">
        <w:rPr>
          <w:rFonts w:ascii="Arial" w:hAnsi="Arial" w:cs="Arial"/>
          <w:sz w:val="20"/>
          <w:szCs w:val="20"/>
        </w:rPr>
        <w:t xml:space="preserve"> medical research, while creating hundreds of new jobs. This extraordinary investment will contribute to the increase of quality standards in higher education and to the implementation of the national project "Educated Romania", said </w:t>
      </w:r>
      <w:proofErr w:type="spellStart"/>
      <w:r w:rsidRPr="00C801D2">
        <w:rPr>
          <w:rFonts w:ascii="Arial" w:hAnsi="Arial" w:cs="Arial"/>
          <w:sz w:val="20"/>
          <w:szCs w:val="20"/>
        </w:rPr>
        <w:t>Sorin</w:t>
      </w:r>
      <w:proofErr w:type="spellEnd"/>
      <w:r w:rsidRPr="00C801D2">
        <w:rPr>
          <w:rFonts w:ascii="Arial" w:hAnsi="Arial" w:cs="Arial"/>
          <w:sz w:val="20"/>
          <w:szCs w:val="20"/>
        </w:rPr>
        <w:t xml:space="preserve"> </w:t>
      </w:r>
      <w:proofErr w:type="spellStart"/>
      <w:r w:rsidRPr="00C801D2">
        <w:rPr>
          <w:rFonts w:ascii="Arial" w:hAnsi="Arial" w:cs="Arial"/>
          <w:sz w:val="20"/>
          <w:szCs w:val="20"/>
        </w:rPr>
        <w:t>Cîmpeanu</w:t>
      </w:r>
      <w:proofErr w:type="spellEnd"/>
      <w:r w:rsidRPr="00C801D2">
        <w:rPr>
          <w:rFonts w:ascii="Arial" w:hAnsi="Arial" w:cs="Arial"/>
          <w:sz w:val="20"/>
          <w:szCs w:val="20"/>
        </w:rPr>
        <w:t>, Minister of Education.</w:t>
      </w:r>
    </w:p>
    <w:p w14:paraId="7C9166FA" w14:textId="77777777" w:rsidR="00D9584B" w:rsidRPr="00005F54" w:rsidRDefault="00D9584B" w:rsidP="00005F54">
      <w:pPr>
        <w:jc w:val="both"/>
        <w:rPr>
          <w:rFonts w:ascii="Arial" w:eastAsia="Arial" w:hAnsi="Arial" w:cs="Arial"/>
          <w:sz w:val="20"/>
          <w:szCs w:val="20"/>
        </w:rPr>
      </w:pPr>
    </w:p>
    <w:p w14:paraId="71287609" w14:textId="246E3956" w:rsidR="00D9584B" w:rsidRDefault="00D9584B" w:rsidP="00005F54">
      <w:pPr>
        <w:jc w:val="both"/>
        <w:rPr>
          <w:rFonts w:ascii="Arial" w:eastAsia="Arial" w:hAnsi="Arial" w:cs="Arial"/>
          <w:sz w:val="20"/>
          <w:szCs w:val="20"/>
        </w:rPr>
      </w:pPr>
      <w:r w:rsidRPr="00BD0542">
        <w:rPr>
          <w:rFonts w:ascii="Arial" w:eastAsia="Arial" w:hAnsi="Arial" w:cs="Arial"/>
          <w:sz w:val="20"/>
          <w:szCs w:val="20"/>
        </w:rPr>
        <w:t>“</w:t>
      </w:r>
      <w:r w:rsidR="00791617" w:rsidRPr="00791617">
        <w:rPr>
          <w:rFonts w:ascii="Arial" w:eastAsia="Arial" w:hAnsi="Arial" w:cs="Arial"/>
          <w:sz w:val="20"/>
          <w:szCs w:val="20"/>
        </w:rPr>
        <w:t xml:space="preserve">Today, we mark the start of a new era for the University of Medicine and Pharmacy "Carol Davila" Bucharest. The </w:t>
      </w:r>
      <w:r w:rsidR="000620A7" w:rsidRPr="00791617">
        <w:rPr>
          <w:rFonts w:ascii="Arial" w:eastAsia="Arial" w:hAnsi="Arial" w:cs="Arial"/>
          <w:sz w:val="20"/>
          <w:szCs w:val="20"/>
        </w:rPr>
        <w:t xml:space="preserve">EUR 24 million </w:t>
      </w:r>
      <w:r w:rsidR="00791617" w:rsidRPr="00791617">
        <w:rPr>
          <w:rFonts w:ascii="Arial" w:eastAsia="Arial" w:hAnsi="Arial" w:cs="Arial"/>
          <w:sz w:val="20"/>
          <w:szCs w:val="20"/>
        </w:rPr>
        <w:t xml:space="preserve">EIB </w:t>
      </w:r>
      <w:r w:rsidR="000620A7">
        <w:rPr>
          <w:rFonts w:ascii="Arial" w:eastAsia="Arial" w:hAnsi="Arial" w:cs="Arial"/>
          <w:sz w:val="20"/>
          <w:szCs w:val="20"/>
        </w:rPr>
        <w:t xml:space="preserve">loan </w:t>
      </w:r>
      <w:r w:rsidR="00791617" w:rsidRPr="00791617">
        <w:rPr>
          <w:rFonts w:ascii="Arial" w:eastAsia="Arial" w:hAnsi="Arial" w:cs="Arial"/>
          <w:sz w:val="20"/>
          <w:szCs w:val="20"/>
        </w:rPr>
        <w:t xml:space="preserve">responds to the </w:t>
      </w:r>
      <w:r w:rsidR="000620A7">
        <w:rPr>
          <w:rFonts w:ascii="Arial" w:eastAsia="Arial" w:hAnsi="Arial" w:cs="Arial"/>
          <w:sz w:val="20"/>
          <w:szCs w:val="20"/>
        </w:rPr>
        <w:t xml:space="preserve">current </w:t>
      </w:r>
      <w:r w:rsidR="00791617" w:rsidRPr="00791617">
        <w:rPr>
          <w:rFonts w:ascii="Arial" w:eastAsia="Arial" w:hAnsi="Arial" w:cs="Arial"/>
          <w:sz w:val="20"/>
          <w:szCs w:val="20"/>
        </w:rPr>
        <w:t>need</w:t>
      </w:r>
      <w:r w:rsidR="000620A7">
        <w:rPr>
          <w:rFonts w:ascii="Arial" w:eastAsia="Arial" w:hAnsi="Arial" w:cs="Arial"/>
          <w:sz w:val="20"/>
          <w:szCs w:val="20"/>
        </w:rPr>
        <w:t>s</w:t>
      </w:r>
      <w:r w:rsidR="00791617" w:rsidRPr="00791617">
        <w:rPr>
          <w:rFonts w:ascii="Arial" w:eastAsia="Arial" w:hAnsi="Arial" w:cs="Arial"/>
          <w:sz w:val="20"/>
          <w:szCs w:val="20"/>
        </w:rPr>
        <w:t xml:space="preserve"> of the University to modernize the </w:t>
      </w:r>
      <w:r w:rsidR="000620A7">
        <w:rPr>
          <w:rFonts w:ascii="Arial" w:eastAsia="Arial" w:hAnsi="Arial" w:cs="Arial"/>
          <w:sz w:val="20"/>
          <w:szCs w:val="20"/>
        </w:rPr>
        <w:t>teaching</w:t>
      </w:r>
      <w:r w:rsidR="00791617" w:rsidRPr="00791617">
        <w:rPr>
          <w:rFonts w:ascii="Arial" w:eastAsia="Arial" w:hAnsi="Arial" w:cs="Arial"/>
          <w:sz w:val="20"/>
          <w:szCs w:val="20"/>
        </w:rPr>
        <w:t xml:space="preserve"> environment and research facilities and will accelerate the development, digitalisation and internalisation of </w:t>
      </w:r>
      <w:r w:rsidR="000620A7">
        <w:rPr>
          <w:rFonts w:ascii="Arial" w:eastAsia="Arial" w:hAnsi="Arial" w:cs="Arial"/>
          <w:sz w:val="20"/>
          <w:szCs w:val="20"/>
        </w:rPr>
        <w:t xml:space="preserve">our </w:t>
      </w:r>
      <w:r w:rsidR="00791617" w:rsidRPr="00791617">
        <w:rPr>
          <w:rFonts w:ascii="Arial" w:eastAsia="Arial" w:hAnsi="Arial" w:cs="Arial"/>
          <w:sz w:val="20"/>
          <w:szCs w:val="20"/>
        </w:rPr>
        <w:t xml:space="preserve">University. </w:t>
      </w:r>
      <w:r w:rsidR="000620A7" w:rsidRPr="00C801D2">
        <w:rPr>
          <w:rFonts w:ascii="Arial" w:eastAsia="Arial" w:hAnsi="Arial" w:cs="Arial"/>
          <w:sz w:val="20"/>
          <w:szCs w:val="20"/>
        </w:rPr>
        <w:t>The EIB’s unique experience of supporting university investment</w:t>
      </w:r>
      <w:r w:rsidR="000620A7">
        <w:rPr>
          <w:rFonts w:ascii="Arial" w:eastAsia="Arial" w:hAnsi="Arial" w:cs="Arial"/>
          <w:sz w:val="20"/>
          <w:szCs w:val="20"/>
        </w:rPr>
        <w:t>s</w:t>
      </w:r>
      <w:r w:rsidR="000620A7" w:rsidRPr="00C801D2">
        <w:rPr>
          <w:rFonts w:ascii="Arial" w:eastAsia="Arial" w:hAnsi="Arial" w:cs="Arial"/>
          <w:sz w:val="20"/>
          <w:szCs w:val="20"/>
        </w:rPr>
        <w:t xml:space="preserve"> across Europe has enhanced </w:t>
      </w:r>
      <w:r w:rsidR="000620A7">
        <w:rPr>
          <w:rFonts w:ascii="Arial" w:eastAsia="Arial" w:hAnsi="Arial" w:cs="Arial"/>
          <w:sz w:val="20"/>
          <w:szCs w:val="20"/>
        </w:rPr>
        <w:t xml:space="preserve">our capacity to plan the </w:t>
      </w:r>
      <w:r w:rsidR="000620A7" w:rsidRPr="00C801D2">
        <w:rPr>
          <w:rFonts w:ascii="Arial" w:eastAsia="Arial" w:hAnsi="Arial" w:cs="Arial"/>
          <w:sz w:val="20"/>
          <w:szCs w:val="20"/>
        </w:rPr>
        <w:t xml:space="preserve">new investment and </w:t>
      </w:r>
      <w:r w:rsidR="000620A7">
        <w:rPr>
          <w:rFonts w:ascii="Arial" w:eastAsia="Arial" w:hAnsi="Arial" w:cs="Arial"/>
          <w:sz w:val="20"/>
          <w:szCs w:val="20"/>
        </w:rPr>
        <w:t xml:space="preserve">enabled </w:t>
      </w:r>
      <w:r w:rsidR="000620A7" w:rsidRPr="00C801D2">
        <w:rPr>
          <w:rFonts w:ascii="Arial" w:eastAsia="Arial" w:hAnsi="Arial" w:cs="Arial"/>
          <w:sz w:val="20"/>
          <w:szCs w:val="20"/>
        </w:rPr>
        <w:t xml:space="preserve">our dreams of improving </w:t>
      </w:r>
      <w:r w:rsidR="000620A7">
        <w:rPr>
          <w:rFonts w:ascii="Arial" w:eastAsia="Arial" w:hAnsi="Arial" w:cs="Arial"/>
          <w:sz w:val="20"/>
          <w:szCs w:val="20"/>
        </w:rPr>
        <w:t xml:space="preserve">conditions for </w:t>
      </w:r>
      <w:r w:rsidR="000620A7" w:rsidRPr="00C801D2">
        <w:rPr>
          <w:rFonts w:ascii="Arial" w:eastAsia="Arial" w:hAnsi="Arial" w:cs="Arial"/>
          <w:sz w:val="20"/>
          <w:szCs w:val="20"/>
        </w:rPr>
        <w:t xml:space="preserve">medical scientific research, </w:t>
      </w:r>
      <w:r w:rsidR="002D524E">
        <w:rPr>
          <w:rFonts w:ascii="Arial" w:eastAsia="Arial" w:hAnsi="Arial" w:cs="Arial"/>
          <w:sz w:val="20"/>
          <w:szCs w:val="20"/>
        </w:rPr>
        <w:t xml:space="preserve">for </w:t>
      </w:r>
      <w:r w:rsidR="000620A7" w:rsidRPr="00C801D2">
        <w:rPr>
          <w:rFonts w:ascii="Arial" w:eastAsia="Arial" w:hAnsi="Arial" w:cs="Arial"/>
          <w:sz w:val="20"/>
          <w:szCs w:val="20"/>
        </w:rPr>
        <w:t xml:space="preserve">harnessing digital technology and </w:t>
      </w:r>
      <w:r w:rsidR="002D524E">
        <w:rPr>
          <w:rFonts w:ascii="Arial" w:eastAsia="Arial" w:hAnsi="Arial" w:cs="Arial"/>
          <w:sz w:val="20"/>
          <w:szCs w:val="20"/>
        </w:rPr>
        <w:t xml:space="preserve">for </w:t>
      </w:r>
      <w:r w:rsidR="000620A7" w:rsidRPr="00C801D2">
        <w:rPr>
          <w:rFonts w:ascii="Arial" w:eastAsia="Arial" w:hAnsi="Arial" w:cs="Arial"/>
          <w:sz w:val="20"/>
          <w:szCs w:val="20"/>
        </w:rPr>
        <w:t>ensuring that our students and staff continu</w:t>
      </w:r>
      <w:r w:rsidR="002D524E">
        <w:rPr>
          <w:rFonts w:ascii="Arial" w:eastAsia="Arial" w:hAnsi="Arial" w:cs="Arial"/>
          <w:sz w:val="20"/>
          <w:szCs w:val="20"/>
        </w:rPr>
        <w:t>e</w:t>
      </w:r>
      <w:r w:rsidR="000620A7" w:rsidRPr="00C801D2">
        <w:rPr>
          <w:rFonts w:ascii="Arial" w:eastAsia="Arial" w:hAnsi="Arial" w:cs="Arial"/>
          <w:sz w:val="20"/>
          <w:szCs w:val="20"/>
        </w:rPr>
        <w:t xml:space="preserve"> </w:t>
      </w:r>
      <w:r w:rsidR="002D524E">
        <w:rPr>
          <w:rFonts w:ascii="Arial" w:eastAsia="Arial" w:hAnsi="Arial" w:cs="Arial"/>
          <w:sz w:val="20"/>
          <w:szCs w:val="20"/>
        </w:rPr>
        <w:t xml:space="preserve">improving </w:t>
      </w:r>
      <w:r w:rsidR="000620A7" w:rsidRPr="00C801D2">
        <w:rPr>
          <w:rFonts w:ascii="Arial" w:eastAsia="Arial" w:hAnsi="Arial" w:cs="Arial"/>
          <w:sz w:val="20"/>
          <w:szCs w:val="20"/>
        </w:rPr>
        <w:t>our global Shanghai 500 rankings</w:t>
      </w:r>
      <w:r w:rsidR="000620A7">
        <w:rPr>
          <w:rFonts w:ascii="Arial" w:eastAsia="Arial" w:hAnsi="Arial" w:cs="Arial"/>
          <w:sz w:val="20"/>
          <w:szCs w:val="20"/>
        </w:rPr>
        <w:t xml:space="preserve">. Beyond </w:t>
      </w:r>
      <w:r w:rsidR="00791617" w:rsidRPr="00791617">
        <w:rPr>
          <w:rFonts w:ascii="Arial" w:eastAsia="Arial" w:hAnsi="Arial" w:cs="Arial"/>
          <w:sz w:val="20"/>
          <w:szCs w:val="20"/>
        </w:rPr>
        <w:t xml:space="preserve">the importance for the education development and research </w:t>
      </w:r>
      <w:proofErr w:type="gramStart"/>
      <w:r w:rsidR="00791617" w:rsidRPr="00791617">
        <w:rPr>
          <w:rFonts w:ascii="Arial" w:eastAsia="Arial" w:hAnsi="Arial" w:cs="Arial"/>
          <w:sz w:val="20"/>
          <w:szCs w:val="20"/>
        </w:rPr>
        <w:t>excellency</w:t>
      </w:r>
      <w:proofErr w:type="gramEnd"/>
      <w:r w:rsidR="00791617" w:rsidRPr="00791617">
        <w:rPr>
          <w:rFonts w:ascii="Arial" w:eastAsia="Arial" w:hAnsi="Arial" w:cs="Arial"/>
          <w:sz w:val="20"/>
          <w:szCs w:val="20"/>
        </w:rPr>
        <w:t>, the refurbishment of the Medicine Faculty building has a historic and cultural relevance for Bucharest and for the country since it represents an emblematic architectural heritage</w:t>
      </w:r>
      <w:r w:rsidR="004209AC" w:rsidRPr="00BD0542">
        <w:rPr>
          <w:rFonts w:ascii="Arial" w:eastAsia="Arial" w:hAnsi="Arial" w:cs="Arial"/>
          <w:sz w:val="20"/>
          <w:szCs w:val="20"/>
        </w:rPr>
        <w:t>”</w:t>
      </w:r>
      <w:r w:rsidRPr="00BD0542">
        <w:rPr>
          <w:rFonts w:ascii="Arial" w:eastAsia="Arial" w:hAnsi="Arial" w:cs="Arial"/>
          <w:sz w:val="20"/>
          <w:szCs w:val="20"/>
        </w:rPr>
        <w:t xml:space="preserve"> said </w:t>
      </w:r>
      <w:r w:rsidR="00A13A2F" w:rsidRPr="00C801D2">
        <w:rPr>
          <w:rFonts w:ascii="Arial" w:eastAsia="Arial" w:hAnsi="Arial" w:cs="Arial"/>
          <w:sz w:val="20"/>
          <w:szCs w:val="20"/>
        </w:rPr>
        <w:t>Viorel Jinga</w:t>
      </w:r>
      <w:r w:rsidR="00791617" w:rsidRPr="00C801D2">
        <w:rPr>
          <w:rFonts w:ascii="Arial" w:eastAsia="Arial" w:hAnsi="Arial" w:cs="Arial"/>
          <w:sz w:val="20"/>
          <w:szCs w:val="20"/>
        </w:rPr>
        <w:t>,</w:t>
      </w:r>
      <w:r w:rsidR="00A13A2F" w:rsidRPr="00C801D2">
        <w:rPr>
          <w:rFonts w:ascii="Arial" w:eastAsia="Arial" w:hAnsi="Arial" w:cs="Arial"/>
          <w:sz w:val="20"/>
          <w:szCs w:val="20"/>
        </w:rPr>
        <w:t xml:space="preserve"> </w:t>
      </w:r>
      <w:r w:rsidRPr="00BD0542">
        <w:rPr>
          <w:rFonts w:ascii="Arial" w:eastAsia="Arial" w:hAnsi="Arial" w:cs="Arial"/>
          <w:sz w:val="20"/>
          <w:szCs w:val="20"/>
        </w:rPr>
        <w:t xml:space="preserve">Rector of the </w:t>
      </w:r>
      <w:r w:rsidR="004209AC" w:rsidRPr="00BD0542">
        <w:rPr>
          <w:rFonts w:ascii="Arial" w:eastAsia="Arial" w:hAnsi="Arial" w:cs="Arial"/>
          <w:sz w:val="20"/>
          <w:szCs w:val="20"/>
        </w:rPr>
        <w:t xml:space="preserve">"Carol </w:t>
      </w:r>
      <w:r w:rsidR="000620A7">
        <w:rPr>
          <w:rFonts w:ascii="Arial" w:eastAsia="Arial" w:hAnsi="Arial" w:cs="Arial"/>
          <w:sz w:val="20"/>
          <w:szCs w:val="20"/>
        </w:rPr>
        <w:t>D</w:t>
      </w:r>
      <w:r w:rsidR="004209AC" w:rsidRPr="00BD0542">
        <w:rPr>
          <w:rFonts w:ascii="Arial" w:eastAsia="Arial" w:hAnsi="Arial" w:cs="Arial"/>
          <w:sz w:val="20"/>
          <w:szCs w:val="20"/>
        </w:rPr>
        <w:t>avila" University of Medicine and Pharmacy</w:t>
      </w:r>
      <w:r w:rsidRPr="00BD0542">
        <w:rPr>
          <w:rFonts w:ascii="Arial" w:eastAsia="Arial" w:hAnsi="Arial" w:cs="Arial"/>
          <w:sz w:val="20"/>
          <w:szCs w:val="20"/>
        </w:rPr>
        <w:t>.</w:t>
      </w:r>
    </w:p>
    <w:p w14:paraId="191A4A80" w14:textId="20A8E22D" w:rsidR="000620A7" w:rsidRDefault="000620A7" w:rsidP="00005F54">
      <w:pPr>
        <w:jc w:val="both"/>
        <w:rPr>
          <w:rFonts w:ascii="Arial" w:eastAsia="Arial" w:hAnsi="Arial" w:cs="Arial"/>
          <w:sz w:val="20"/>
          <w:szCs w:val="20"/>
        </w:rPr>
      </w:pPr>
    </w:p>
    <w:p w14:paraId="4F549266" w14:textId="0935255A" w:rsidR="00D9584B" w:rsidRPr="00005F54" w:rsidRDefault="00D9584B" w:rsidP="00005F54">
      <w:pPr>
        <w:jc w:val="both"/>
        <w:rPr>
          <w:rFonts w:ascii="Arial" w:eastAsia="Arial" w:hAnsi="Arial" w:cs="Arial"/>
          <w:sz w:val="20"/>
          <w:szCs w:val="20"/>
        </w:rPr>
      </w:pPr>
      <w:r w:rsidRPr="00005F54">
        <w:rPr>
          <w:rFonts w:ascii="Arial" w:eastAsia="Arial" w:hAnsi="Arial" w:cs="Arial"/>
          <w:sz w:val="20"/>
          <w:szCs w:val="20"/>
        </w:rPr>
        <w:t xml:space="preserve">“The European Investment Bank is </w:t>
      </w:r>
      <w:r w:rsidR="00053AE0" w:rsidRPr="00005F54">
        <w:rPr>
          <w:rFonts w:ascii="Arial" w:eastAsia="Arial" w:hAnsi="Arial" w:cs="Arial"/>
          <w:sz w:val="20"/>
          <w:szCs w:val="20"/>
        </w:rPr>
        <w:t xml:space="preserve">committed to accelerating priority investment to improve education, research and public health </w:t>
      </w:r>
      <w:r w:rsidR="004209AC" w:rsidRPr="00005F54">
        <w:rPr>
          <w:rFonts w:ascii="Arial" w:eastAsia="Arial" w:hAnsi="Arial" w:cs="Arial"/>
          <w:sz w:val="20"/>
          <w:szCs w:val="20"/>
        </w:rPr>
        <w:t>across</w:t>
      </w:r>
      <w:r w:rsidR="00053AE0" w:rsidRPr="00005F54">
        <w:rPr>
          <w:rFonts w:ascii="Arial" w:eastAsia="Arial" w:hAnsi="Arial" w:cs="Arial"/>
          <w:sz w:val="20"/>
          <w:szCs w:val="20"/>
        </w:rPr>
        <w:t xml:space="preserve"> Romania. The EIB is </w:t>
      </w:r>
      <w:r w:rsidRPr="00005F54">
        <w:rPr>
          <w:rFonts w:ascii="Arial" w:eastAsia="Arial" w:hAnsi="Arial" w:cs="Arial"/>
          <w:sz w:val="20"/>
          <w:szCs w:val="20"/>
        </w:rPr>
        <w:t xml:space="preserve">pleased to </w:t>
      </w:r>
      <w:r w:rsidR="00053AE0" w:rsidRPr="00005F54">
        <w:rPr>
          <w:rFonts w:ascii="Arial" w:eastAsia="Arial" w:hAnsi="Arial" w:cs="Arial"/>
          <w:sz w:val="20"/>
          <w:szCs w:val="20"/>
        </w:rPr>
        <w:t>back the visionary transformation of the "Carol Davila" University of Medicine and Pharmacy in Bucharest</w:t>
      </w:r>
      <w:r w:rsidRPr="00005F54">
        <w:rPr>
          <w:rFonts w:ascii="Arial" w:eastAsia="Arial" w:hAnsi="Arial" w:cs="Arial"/>
          <w:sz w:val="20"/>
          <w:szCs w:val="20"/>
        </w:rPr>
        <w:t>. The EIB’s EUR 2</w:t>
      </w:r>
      <w:r w:rsidR="00053AE0" w:rsidRPr="00005F54">
        <w:rPr>
          <w:rFonts w:ascii="Arial" w:eastAsia="Arial" w:hAnsi="Arial" w:cs="Arial"/>
          <w:sz w:val="20"/>
          <w:szCs w:val="20"/>
        </w:rPr>
        <w:t>4</w:t>
      </w:r>
      <w:r w:rsidRPr="00005F54">
        <w:rPr>
          <w:rFonts w:ascii="Arial" w:eastAsia="Arial" w:hAnsi="Arial" w:cs="Arial"/>
          <w:sz w:val="20"/>
          <w:szCs w:val="20"/>
        </w:rPr>
        <w:t xml:space="preserve"> million </w:t>
      </w:r>
      <w:r w:rsidR="004209AC" w:rsidRPr="00005F54">
        <w:rPr>
          <w:rFonts w:ascii="Arial" w:eastAsia="Arial" w:hAnsi="Arial" w:cs="Arial"/>
          <w:sz w:val="20"/>
          <w:szCs w:val="20"/>
        </w:rPr>
        <w:t xml:space="preserve">new </w:t>
      </w:r>
      <w:r w:rsidRPr="00005F54">
        <w:rPr>
          <w:rFonts w:ascii="Arial" w:eastAsia="Arial" w:hAnsi="Arial" w:cs="Arial"/>
          <w:sz w:val="20"/>
          <w:szCs w:val="20"/>
        </w:rPr>
        <w:lastRenderedPageBreak/>
        <w:t>financing</w:t>
      </w:r>
      <w:r w:rsidR="00D77778">
        <w:rPr>
          <w:rFonts w:ascii="Arial" w:eastAsia="Arial" w:hAnsi="Arial" w:cs="Arial"/>
          <w:sz w:val="20"/>
          <w:szCs w:val="20"/>
        </w:rPr>
        <w:t>, backed by the EU,</w:t>
      </w:r>
      <w:r w:rsidRPr="00005F54">
        <w:rPr>
          <w:rFonts w:ascii="Arial" w:eastAsia="Arial" w:hAnsi="Arial" w:cs="Arial"/>
          <w:sz w:val="20"/>
          <w:szCs w:val="20"/>
        </w:rPr>
        <w:t xml:space="preserve"> will </w:t>
      </w:r>
      <w:r w:rsidR="004209AC" w:rsidRPr="00005F54">
        <w:rPr>
          <w:rFonts w:ascii="Arial" w:eastAsia="Arial" w:hAnsi="Arial" w:cs="Arial"/>
          <w:sz w:val="20"/>
          <w:szCs w:val="20"/>
        </w:rPr>
        <w:t>help to further</w:t>
      </w:r>
      <w:r w:rsidR="00053AE0" w:rsidRPr="00005F54">
        <w:rPr>
          <w:rFonts w:ascii="Arial" w:eastAsia="Arial" w:hAnsi="Arial" w:cs="Arial"/>
          <w:sz w:val="20"/>
          <w:szCs w:val="20"/>
        </w:rPr>
        <w:t xml:space="preserve"> </w:t>
      </w:r>
      <w:r w:rsidRPr="00005F54">
        <w:rPr>
          <w:rFonts w:ascii="Arial" w:eastAsia="Arial" w:hAnsi="Arial" w:cs="Arial"/>
          <w:sz w:val="20"/>
          <w:szCs w:val="20"/>
        </w:rPr>
        <w:t xml:space="preserve">strengthen </w:t>
      </w:r>
      <w:r w:rsidR="004209AC" w:rsidRPr="00005F54">
        <w:rPr>
          <w:rFonts w:ascii="Arial" w:eastAsia="Arial" w:hAnsi="Arial" w:cs="Arial"/>
          <w:sz w:val="20"/>
          <w:szCs w:val="20"/>
        </w:rPr>
        <w:t>medical education</w:t>
      </w:r>
      <w:r w:rsidRPr="00005F54">
        <w:rPr>
          <w:rFonts w:ascii="Arial" w:eastAsia="Arial" w:hAnsi="Arial" w:cs="Arial"/>
          <w:sz w:val="20"/>
          <w:szCs w:val="20"/>
        </w:rPr>
        <w:t xml:space="preserve"> and </w:t>
      </w:r>
      <w:r w:rsidR="004209AC" w:rsidRPr="00005F54">
        <w:rPr>
          <w:rFonts w:ascii="Arial" w:eastAsia="Arial" w:hAnsi="Arial" w:cs="Arial"/>
          <w:sz w:val="20"/>
          <w:szCs w:val="20"/>
        </w:rPr>
        <w:t>research</w:t>
      </w:r>
      <w:r w:rsidRPr="00005F54">
        <w:rPr>
          <w:rFonts w:ascii="Arial" w:eastAsia="Arial" w:hAnsi="Arial" w:cs="Arial"/>
          <w:sz w:val="20"/>
          <w:szCs w:val="20"/>
        </w:rPr>
        <w:t xml:space="preserve"> excellence </w:t>
      </w:r>
      <w:r w:rsidR="004209AC" w:rsidRPr="00005F54">
        <w:rPr>
          <w:rFonts w:ascii="Arial" w:eastAsia="Arial" w:hAnsi="Arial" w:cs="Arial"/>
          <w:sz w:val="20"/>
          <w:szCs w:val="20"/>
        </w:rPr>
        <w:t xml:space="preserve">at the university </w:t>
      </w:r>
      <w:r w:rsidRPr="00005F54">
        <w:rPr>
          <w:rFonts w:ascii="Arial" w:eastAsia="Arial" w:hAnsi="Arial" w:cs="Arial"/>
          <w:sz w:val="20"/>
          <w:szCs w:val="20"/>
        </w:rPr>
        <w:t>and improve energy efficiency</w:t>
      </w:r>
      <w:r w:rsidR="00EE78D2">
        <w:rPr>
          <w:rFonts w:ascii="Arial" w:eastAsia="Arial" w:hAnsi="Arial" w:cs="Arial"/>
          <w:sz w:val="20"/>
          <w:szCs w:val="20"/>
        </w:rPr>
        <w:t xml:space="preserve">. Following recent support for investment at the </w:t>
      </w:r>
      <w:r w:rsidR="00634A8F" w:rsidRPr="00005F54">
        <w:rPr>
          <w:rFonts w:ascii="Arial" w:eastAsia="Arial" w:hAnsi="Arial" w:cs="Arial"/>
          <w:sz w:val="20"/>
          <w:szCs w:val="20"/>
        </w:rPr>
        <w:t>Technical University of Cluj-Napoca</w:t>
      </w:r>
      <w:r w:rsidR="00634A8F">
        <w:rPr>
          <w:rFonts w:ascii="Arial" w:eastAsia="Arial" w:hAnsi="Arial" w:cs="Arial"/>
          <w:sz w:val="20"/>
          <w:szCs w:val="20"/>
        </w:rPr>
        <w:t xml:space="preserve"> and the </w:t>
      </w:r>
      <w:r w:rsidR="00523DC3" w:rsidRPr="00DC6B76">
        <w:rPr>
          <w:rFonts w:ascii="Arial" w:eastAsia="Arial" w:hAnsi="Arial" w:cs="Arial"/>
          <w:sz w:val="20"/>
          <w:szCs w:val="20"/>
        </w:rPr>
        <w:t xml:space="preserve">University </w:t>
      </w:r>
      <w:proofErr w:type="spellStart"/>
      <w:r w:rsidR="00523DC3" w:rsidRPr="00DC6B76">
        <w:rPr>
          <w:rFonts w:ascii="Arial" w:eastAsia="Arial" w:hAnsi="Arial" w:cs="Arial"/>
          <w:sz w:val="20"/>
          <w:szCs w:val="20"/>
        </w:rPr>
        <w:t>Politehnica</w:t>
      </w:r>
      <w:proofErr w:type="spellEnd"/>
      <w:r w:rsidR="00523DC3" w:rsidRPr="00DC6B76">
        <w:rPr>
          <w:rFonts w:ascii="Arial" w:eastAsia="Arial" w:hAnsi="Arial" w:cs="Arial"/>
          <w:sz w:val="20"/>
          <w:szCs w:val="20"/>
        </w:rPr>
        <w:t xml:space="preserve"> of Bucharest</w:t>
      </w:r>
      <w:r w:rsidR="00523DC3" w:rsidRPr="00634A8F" w:rsidDel="00523DC3">
        <w:rPr>
          <w:rFonts w:ascii="Arial" w:eastAsia="Arial" w:hAnsi="Arial" w:cs="Arial"/>
          <w:sz w:val="20"/>
          <w:szCs w:val="20"/>
        </w:rPr>
        <w:t xml:space="preserve"> </w:t>
      </w:r>
      <w:r w:rsidR="00634A8F" w:rsidRPr="00634A8F">
        <w:rPr>
          <w:rFonts w:ascii="Arial" w:eastAsia="Arial" w:hAnsi="Arial" w:cs="Arial"/>
          <w:sz w:val="20"/>
          <w:szCs w:val="20"/>
        </w:rPr>
        <w:t>the EIB’s education finance experts look forward to working</w:t>
      </w:r>
      <w:r w:rsidR="00A13A2F">
        <w:rPr>
          <w:rFonts w:ascii="Arial" w:eastAsia="Arial" w:hAnsi="Arial" w:cs="Arial"/>
          <w:sz w:val="20"/>
          <w:szCs w:val="20"/>
        </w:rPr>
        <w:t xml:space="preserve"> also</w:t>
      </w:r>
      <w:r w:rsidR="00634A8F" w:rsidRPr="00634A8F">
        <w:rPr>
          <w:rFonts w:ascii="Arial" w:eastAsia="Arial" w:hAnsi="Arial" w:cs="Arial"/>
          <w:sz w:val="20"/>
          <w:szCs w:val="20"/>
        </w:rPr>
        <w:t xml:space="preserve"> with other higher education partners in Romania to back further investment</w:t>
      </w:r>
      <w:r w:rsidR="00A13A2F">
        <w:rPr>
          <w:rFonts w:ascii="Arial" w:eastAsia="Arial" w:hAnsi="Arial" w:cs="Arial"/>
          <w:sz w:val="20"/>
          <w:szCs w:val="20"/>
        </w:rPr>
        <w:t>s</w:t>
      </w:r>
      <w:r w:rsidR="00634A8F" w:rsidRPr="00634A8F">
        <w:rPr>
          <w:rFonts w:ascii="Arial" w:eastAsia="Arial" w:hAnsi="Arial" w:cs="Arial"/>
          <w:sz w:val="20"/>
          <w:szCs w:val="20"/>
        </w:rPr>
        <w:t xml:space="preserve"> in Romania’s future.</w:t>
      </w:r>
      <w:r w:rsidRPr="00005F54">
        <w:rPr>
          <w:rFonts w:ascii="Arial" w:eastAsia="Arial" w:hAnsi="Arial" w:cs="Arial"/>
          <w:sz w:val="20"/>
          <w:szCs w:val="20"/>
        </w:rPr>
        <w:t>” said Christian Kettel Thomsen, European Investment Bank Vice President responsible for Romania.</w:t>
      </w:r>
    </w:p>
    <w:p w14:paraId="0E9116C9" w14:textId="77777777" w:rsidR="004209AC" w:rsidRPr="00005F54" w:rsidRDefault="004209AC" w:rsidP="00EE78D2">
      <w:pPr>
        <w:jc w:val="both"/>
        <w:rPr>
          <w:rFonts w:ascii="Arial" w:eastAsia="Arial" w:hAnsi="Arial" w:cs="Arial"/>
          <w:sz w:val="20"/>
          <w:szCs w:val="20"/>
        </w:rPr>
      </w:pPr>
    </w:p>
    <w:p w14:paraId="6F23CD59" w14:textId="25CC0C6F" w:rsidR="004209AC" w:rsidRPr="00EE78D2" w:rsidRDefault="004209AC" w:rsidP="00005F54">
      <w:pPr>
        <w:jc w:val="both"/>
        <w:rPr>
          <w:rStyle w:val="Strong"/>
          <w:rFonts w:ascii="Arial" w:hAnsi="Arial" w:cs="Arial"/>
        </w:rPr>
      </w:pPr>
      <w:r w:rsidRPr="00EE78D2">
        <w:rPr>
          <w:rStyle w:val="Strong"/>
          <w:rFonts w:ascii="Arial" w:hAnsi="Arial" w:cs="Arial"/>
        </w:rPr>
        <w:t>New university investment</w:t>
      </w:r>
      <w:r w:rsidR="00A13A2F">
        <w:rPr>
          <w:rStyle w:val="Strong"/>
          <w:rFonts w:ascii="Arial" w:hAnsi="Arial" w:cs="Arial"/>
        </w:rPr>
        <w:t>s</w:t>
      </w:r>
      <w:r w:rsidRPr="00EE78D2">
        <w:rPr>
          <w:rStyle w:val="Strong"/>
          <w:rFonts w:ascii="Arial" w:hAnsi="Arial" w:cs="Arial"/>
        </w:rPr>
        <w:t xml:space="preserve"> to address public health and skills challenges</w:t>
      </w:r>
    </w:p>
    <w:p w14:paraId="2DC1176B" w14:textId="77777777" w:rsidR="004E1C0C" w:rsidRDefault="004E1C0C" w:rsidP="00EE78D2">
      <w:pPr>
        <w:jc w:val="both"/>
        <w:rPr>
          <w:rFonts w:ascii="Arial" w:eastAsia="Arial" w:hAnsi="Arial" w:cs="Arial"/>
          <w:sz w:val="20"/>
          <w:szCs w:val="20"/>
        </w:rPr>
      </w:pPr>
    </w:p>
    <w:p w14:paraId="4B89AF3D" w14:textId="533B8744" w:rsidR="004209AC" w:rsidRDefault="004209AC" w:rsidP="00EE78D2">
      <w:pPr>
        <w:jc w:val="both"/>
        <w:rPr>
          <w:rFonts w:ascii="Arial" w:eastAsia="Arial" w:hAnsi="Arial" w:cs="Arial"/>
          <w:sz w:val="20"/>
          <w:szCs w:val="20"/>
        </w:rPr>
      </w:pPr>
      <w:r w:rsidRPr="00005F54">
        <w:rPr>
          <w:rFonts w:ascii="Arial" w:eastAsia="Arial" w:hAnsi="Arial" w:cs="Arial"/>
          <w:sz w:val="20"/>
          <w:szCs w:val="20"/>
        </w:rPr>
        <w:t>Strengthening national centres of excellence to train future generations of doctors in Romania is key to improving resilience to public health challenges and reducing the brain drain of Romanian health professionals leaving the country to work abroad.</w:t>
      </w:r>
    </w:p>
    <w:p w14:paraId="0159C597" w14:textId="6BFDDC6A" w:rsidR="00A66004" w:rsidRDefault="00A66004" w:rsidP="00EE78D2">
      <w:pPr>
        <w:jc w:val="both"/>
        <w:rPr>
          <w:rFonts w:ascii="Arial" w:eastAsia="Arial" w:hAnsi="Arial" w:cs="Arial"/>
          <w:sz w:val="20"/>
          <w:szCs w:val="20"/>
        </w:rPr>
      </w:pPr>
    </w:p>
    <w:p w14:paraId="5025014C" w14:textId="79AF4594" w:rsidR="00A66004" w:rsidRPr="000053B6" w:rsidRDefault="00A66004" w:rsidP="00EE78D2">
      <w:pPr>
        <w:jc w:val="both"/>
        <w:rPr>
          <w:rStyle w:val="Strong"/>
          <w:rFonts w:ascii="Arial" w:hAnsi="Arial" w:cs="Arial"/>
        </w:rPr>
      </w:pPr>
      <w:r w:rsidRPr="000053B6">
        <w:rPr>
          <w:rStyle w:val="Strong"/>
          <w:rFonts w:ascii="Arial" w:hAnsi="Arial" w:cs="Arial"/>
        </w:rPr>
        <w:t>Sharing higher education best-practice to strengthen investment by Romanian partners</w:t>
      </w:r>
    </w:p>
    <w:p w14:paraId="5DEB6D47" w14:textId="77777777" w:rsidR="004E1C0C" w:rsidRPr="000053B6" w:rsidRDefault="004E1C0C" w:rsidP="00EE78D2">
      <w:pPr>
        <w:jc w:val="both"/>
        <w:rPr>
          <w:rFonts w:ascii="Arial" w:eastAsia="Arial" w:hAnsi="Arial" w:cs="Arial"/>
          <w:sz w:val="20"/>
          <w:szCs w:val="20"/>
        </w:rPr>
      </w:pPr>
    </w:p>
    <w:p w14:paraId="367A4BD2" w14:textId="7CECC651" w:rsidR="00A66004" w:rsidRPr="000053B6" w:rsidRDefault="00A66004" w:rsidP="00EE78D2">
      <w:pPr>
        <w:jc w:val="both"/>
        <w:rPr>
          <w:rFonts w:ascii="Arial" w:eastAsia="Arial" w:hAnsi="Arial" w:cs="Arial"/>
          <w:sz w:val="20"/>
          <w:szCs w:val="20"/>
        </w:rPr>
      </w:pPr>
      <w:r w:rsidRPr="000053B6">
        <w:rPr>
          <w:rFonts w:ascii="Arial" w:eastAsia="Arial" w:hAnsi="Arial" w:cs="Arial"/>
          <w:sz w:val="20"/>
          <w:szCs w:val="20"/>
        </w:rPr>
        <w:t>The new investment at the "Carol Davila" University of Medicine and Pharmacy, and recent EIB backed project at the Technical University of Cluj-Napoca</w:t>
      </w:r>
      <w:r w:rsidR="00A13A2F" w:rsidRPr="000053B6">
        <w:rPr>
          <w:rFonts w:ascii="Arial" w:eastAsia="Arial" w:hAnsi="Arial" w:cs="Arial"/>
          <w:sz w:val="20"/>
          <w:szCs w:val="20"/>
        </w:rPr>
        <w:t xml:space="preserve"> </w:t>
      </w:r>
      <w:r w:rsidRPr="000053B6">
        <w:rPr>
          <w:rFonts w:ascii="Arial" w:eastAsia="Arial" w:hAnsi="Arial" w:cs="Arial"/>
          <w:sz w:val="20"/>
          <w:szCs w:val="20"/>
        </w:rPr>
        <w:t xml:space="preserve">have benefited from specialist education, technical and financial expertise provided by the </w:t>
      </w:r>
      <w:r w:rsidR="00FD2A25" w:rsidRPr="000053B6">
        <w:rPr>
          <w:rFonts w:ascii="Arial" w:eastAsia="Arial" w:hAnsi="Arial" w:cs="Arial"/>
          <w:sz w:val="20"/>
          <w:szCs w:val="20"/>
        </w:rPr>
        <w:t xml:space="preserve">European Investment Advisory Hub, a joint initiative by the EIB and the European Commission. </w:t>
      </w:r>
    </w:p>
    <w:p w14:paraId="7C14A42D" w14:textId="23320440" w:rsidR="004209AC" w:rsidRPr="000053B6" w:rsidRDefault="004209AC" w:rsidP="00005F54">
      <w:pPr>
        <w:jc w:val="both"/>
        <w:rPr>
          <w:rFonts w:ascii="Arial" w:eastAsia="Arial" w:hAnsi="Arial" w:cs="Arial"/>
          <w:sz w:val="20"/>
          <w:szCs w:val="20"/>
        </w:rPr>
      </w:pPr>
    </w:p>
    <w:p w14:paraId="50D9E1F1" w14:textId="105385F7" w:rsidR="004209AC" w:rsidRPr="00EE78D2" w:rsidRDefault="004209AC" w:rsidP="00005F54">
      <w:pPr>
        <w:jc w:val="both"/>
        <w:rPr>
          <w:rFonts w:ascii="Arial" w:eastAsia="Arial" w:hAnsi="Arial" w:cs="Arial"/>
          <w:b/>
          <w:sz w:val="20"/>
          <w:szCs w:val="20"/>
        </w:rPr>
      </w:pPr>
      <w:r w:rsidRPr="00EE78D2">
        <w:rPr>
          <w:rFonts w:ascii="Arial" w:eastAsia="Arial" w:hAnsi="Arial" w:cs="Arial"/>
          <w:b/>
          <w:sz w:val="20"/>
          <w:szCs w:val="20"/>
        </w:rPr>
        <w:t>Latest loan in EIB streamlined support for university investment in Romania</w:t>
      </w:r>
    </w:p>
    <w:p w14:paraId="4F36DA67" w14:textId="77777777" w:rsidR="004E1C0C" w:rsidRDefault="004E1C0C" w:rsidP="00EE78D2">
      <w:pPr>
        <w:jc w:val="both"/>
        <w:rPr>
          <w:rFonts w:ascii="Arial" w:eastAsia="Arial" w:hAnsi="Arial" w:cs="Arial"/>
          <w:sz w:val="20"/>
          <w:szCs w:val="20"/>
        </w:rPr>
      </w:pPr>
    </w:p>
    <w:p w14:paraId="37EE567D" w14:textId="2BCC1463" w:rsidR="00D9584B" w:rsidRPr="00005F54" w:rsidRDefault="004209AC" w:rsidP="00EE78D2">
      <w:pPr>
        <w:jc w:val="both"/>
        <w:rPr>
          <w:rFonts w:ascii="Arial" w:eastAsia="Arial" w:hAnsi="Arial" w:cs="Arial"/>
          <w:sz w:val="20"/>
          <w:szCs w:val="20"/>
        </w:rPr>
      </w:pPr>
      <w:r w:rsidRPr="00005F54">
        <w:rPr>
          <w:rFonts w:ascii="Arial" w:eastAsia="Arial" w:hAnsi="Arial" w:cs="Arial"/>
          <w:sz w:val="20"/>
          <w:szCs w:val="20"/>
        </w:rPr>
        <w:t>Th</w:t>
      </w:r>
      <w:r w:rsidR="006D416A" w:rsidRPr="00005F54">
        <w:rPr>
          <w:rFonts w:ascii="Arial" w:eastAsia="Arial" w:hAnsi="Arial" w:cs="Arial"/>
          <w:sz w:val="20"/>
          <w:szCs w:val="20"/>
        </w:rPr>
        <w:t xml:space="preserve">is </w:t>
      </w:r>
      <w:r w:rsidRPr="00005F54">
        <w:rPr>
          <w:rFonts w:ascii="Arial" w:eastAsia="Arial" w:hAnsi="Arial" w:cs="Arial"/>
          <w:sz w:val="20"/>
          <w:szCs w:val="20"/>
        </w:rPr>
        <w:t>loan represents the first ever EIB support for the</w:t>
      </w:r>
      <w:r w:rsidR="006D416A" w:rsidRPr="00005F54">
        <w:rPr>
          <w:rFonts w:ascii="Arial" w:eastAsia="Arial" w:hAnsi="Arial" w:cs="Arial"/>
          <w:sz w:val="20"/>
          <w:szCs w:val="20"/>
        </w:rPr>
        <w:t xml:space="preserve"> "Carol Davila" University of Medicine and Pharmacy. It is </w:t>
      </w:r>
      <w:r w:rsidRPr="00005F54">
        <w:rPr>
          <w:rFonts w:ascii="Arial" w:eastAsia="Arial" w:hAnsi="Arial" w:cs="Arial"/>
          <w:sz w:val="20"/>
          <w:szCs w:val="20"/>
        </w:rPr>
        <w:t>the second agreement under the EIB’s EUR 100 million “Romania Higher Education Programme Loan”</w:t>
      </w:r>
      <w:r w:rsidR="006D416A" w:rsidRPr="00005F54">
        <w:rPr>
          <w:rFonts w:ascii="Arial" w:eastAsia="Arial" w:hAnsi="Arial" w:cs="Arial"/>
          <w:sz w:val="20"/>
          <w:szCs w:val="20"/>
        </w:rPr>
        <w:t xml:space="preserve"> – approved by the Bank in 2020 – following the loan to </w:t>
      </w:r>
      <w:r w:rsidR="00D9584B" w:rsidRPr="00005F54">
        <w:rPr>
          <w:rFonts w:ascii="Arial" w:eastAsia="Arial" w:hAnsi="Arial" w:cs="Arial"/>
          <w:sz w:val="20"/>
          <w:szCs w:val="20"/>
        </w:rPr>
        <w:t>the Technical University of Cluj-Napoca</w:t>
      </w:r>
      <w:r w:rsidR="00F77C29" w:rsidRPr="00005F54">
        <w:rPr>
          <w:rFonts w:ascii="Arial" w:eastAsia="Arial" w:hAnsi="Arial" w:cs="Arial"/>
          <w:sz w:val="20"/>
          <w:szCs w:val="20"/>
        </w:rPr>
        <w:t xml:space="preserve">. Both projects </w:t>
      </w:r>
      <w:r w:rsidR="00D9584B" w:rsidRPr="00005F54">
        <w:rPr>
          <w:rFonts w:ascii="Arial" w:eastAsia="Arial" w:hAnsi="Arial" w:cs="Arial"/>
          <w:sz w:val="20"/>
          <w:szCs w:val="20"/>
        </w:rPr>
        <w:t>will benefit thousands of students, improve innovation, and research and create hundreds of new jobs.</w:t>
      </w:r>
    </w:p>
    <w:p w14:paraId="72436D06" w14:textId="680982E1" w:rsidR="00D9584B" w:rsidRDefault="00D9584B" w:rsidP="00005F54">
      <w:pPr>
        <w:jc w:val="both"/>
        <w:rPr>
          <w:rFonts w:ascii="Arial" w:eastAsia="Arial" w:hAnsi="Arial" w:cs="Arial"/>
          <w:sz w:val="20"/>
          <w:szCs w:val="20"/>
        </w:rPr>
      </w:pPr>
    </w:p>
    <w:p w14:paraId="2B01AFE7" w14:textId="7A8BE40D" w:rsidR="00835AC8" w:rsidRDefault="00835AC8" w:rsidP="00C801D2">
      <w:pPr>
        <w:jc w:val="both"/>
        <w:rPr>
          <w:rFonts w:ascii="Arial" w:eastAsia="Arial" w:hAnsi="Arial" w:cs="Arial"/>
          <w:sz w:val="20"/>
          <w:szCs w:val="20"/>
        </w:rPr>
      </w:pPr>
      <w:r w:rsidRPr="00C801D2">
        <w:rPr>
          <w:rFonts w:ascii="Arial" w:eastAsia="Arial" w:hAnsi="Arial" w:cs="Arial"/>
          <w:sz w:val="20"/>
          <w:szCs w:val="20"/>
        </w:rPr>
        <w:t xml:space="preserve">The EIB EUR 21 million loan, granted over a period of 25 years, will support the co-financing of a total capital investment of EUR 44 million that our university commits over the next period. This ambitious modernisation and development programme will help accelerating the achievement of the strategic goals set by the Technical University of Cluj-Napoca. It represents our contribution to improving the living, learning, research and innovation conditions offered to our students and University’s staff. The effects of the investment is a huge one, it will enable the creation of new jobs in education and research at high quality and performance standards", said </w:t>
      </w:r>
      <w:proofErr w:type="spellStart"/>
      <w:r w:rsidRPr="00C801D2">
        <w:rPr>
          <w:rFonts w:ascii="Arial" w:eastAsia="Arial" w:hAnsi="Arial" w:cs="Arial"/>
          <w:sz w:val="20"/>
          <w:szCs w:val="20"/>
        </w:rPr>
        <w:t>Vasile</w:t>
      </w:r>
      <w:proofErr w:type="spellEnd"/>
      <w:r w:rsidRPr="00C801D2">
        <w:rPr>
          <w:rFonts w:ascii="Arial" w:eastAsia="Arial" w:hAnsi="Arial" w:cs="Arial"/>
          <w:sz w:val="20"/>
          <w:szCs w:val="20"/>
        </w:rPr>
        <w:t xml:space="preserve"> </w:t>
      </w:r>
      <w:proofErr w:type="spellStart"/>
      <w:r w:rsidRPr="00C801D2">
        <w:rPr>
          <w:rFonts w:ascii="Arial" w:eastAsia="Arial" w:hAnsi="Arial" w:cs="Arial"/>
          <w:sz w:val="20"/>
          <w:szCs w:val="20"/>
        </w:rPr>
        <w:t>Țopa</w:t>
      </w:r>
      <w:proofErr w:type="spellEnd"/>
      <w:r w:rsidRPr="00C801D2">
        <w:rPr>
          <w:rFonts w:ascii="Arial" w:eastAsia="Arial" w:hAnsi="Arial" w:cs="Arial"/>
          <w:sz w:val="20"/>
          <w:szCs w:val="20"/>
        </w:rPr>
        <w:t>, Rector of the Technical University of Cluj-Napoca.</w:t>
      </w:r>
    </w:p>
    <w:p w14:paraId="63B8B7CA" w14:textId="77777777" w:rsidR="00077655" w:rsidRPr="00C801D2" w:rsidRDefault="00077655" w:rsidP="00C801D2">
      <w:pPr>
        <w:jc w:val="both"/>
        <w:rPr>
          <w:rFonts w:ascii="Arial" w:eastAsia="Arial" w:hAnsi="Arial" w:cs="Arial"/>
          <w:sz w:val="20"/>
          <w:szCs w:val="20"/>
        </w:rPr>
      </w:pPr>
    </w:p>
    <w:p w14:paraId="0FB0CCFC" w14:textId="7B2857A0" w:rsidR="00523DC3" w:rsidRDefault="00523DC3" w:rsidP="00C801D2">
      <w:pPr>
        <w:jc w:val="both"/>
        <w:rPr>
          <w:rFonts w:ascii="Arial" w:eastAsia="Arial" w:hAnsi="Arial" w:cs="Arial"/>
          <w:sz w:val="20"/>
          <w:szCs w:val="20"/>
        </w:rPr>
      </w:pPr>
      <w:r w:rsidRPr="00C801D2">
        <w:rPr>
          <w:rFonts w:ascii="Arial" w:eastAsia="Arial" w:hAnsi="Arial" w:cs="Arial"/>
          <w:sz w:val="20"/>
          <w:szCs w:val="20"/>
        </w:rPr>
        <w:t>“In 2019, our university was the first institution of its kind in Romania to receive support from EIB. Our aim was to improve the country’s higher education through the construction of a new education and research facility that would benefit around 5000 students and staff yearly. With the help of the EIB experts we made huge progress in developing and financing the project, and we are now on the verge of transforming the largest technical university in Romania in a</w:t>
      </w:r>
      <w:r>
        <w:rPr>
          <w:rFonts w:ascii="Arial" w:eastAsia="Arial" w:hAnsi="Arial" w:cs="Arial"/>
          <w:sz w:val="20"/>
          <w:szCs w:val="20"/>
        </w:rPr>
        <w:t>n</w:t>
      </w:r>
      <w:r w:rsidRPr="00C801D2">
        <w:rPr>
          <w:rFonts w:ascii="Arial" w:eastAsia="Arial" w:hAnsi="Arial" w:cs="Arial"/>
          <w:sz w:val="20"/>
          <w:szCs w:val="20"/>
        </w:rPr>
        <w:t xml:space="preserve"> overall better education and research provider. We believe this will have a great impact not only in the realm of education, but also in terms of society well-being, as our final purpose has always been impacting society for the better. We believe that Romanian universities have a huge opportunity to work with EIB and improve education and research for future generations”, said </w:t>
      </w:r>
      <w:proofErr w:type="spellStart"/>
      <w:r w:rsidRPr="00C801D2">
        <w:rPr>
          <w:rFonts w:ascii="Arial" w:eastAsia="Arial" w:hAnsi="Arial" w:cs="Arial"/>
          <w:sz w:val="20"/>
          <w:szCs w:val="20"/>
        </w:rPr>
        <w:t>Mihnea</w:t>
      </w:r>
      <w:proofErr w:type="spellEnd"/>
      <w:r w:rsidRPr="00C801D2">
        <w:rPr>
          <w:rFonts w:ascii="Arial" w:eastAsia="Arial" w:hAnsi="Arial" w:cs="Arial"/>
          <w:sz w:val="20"/>
          <w:szCs w:val="20"/>
        </w:rPr>
        <w:t xml:space="preserve"> </w:t>
      </w:r>
      <w:proofErr w:type="spellStart"/>
      <w:r w:rsidRPr="00C801D2">
        <w:rPr>
          <w:rFonts w:ascii="Arial" w:eastAsia="Arial" w:hAnsi="Arial" w:cs="Arial"/>
          <w:sz w:val="20"/>
          <w:szCs w:val="20"/>
        </w:rPr>
        <w:t>Costoiu</w:t>
      </w:r>
      <w:proofErr w:type="spellEnd"/>
      <w:r w:rsidRPr="00C801D2">
        <w:rPr>
          <w:rFonts w:ascii="Arial" w:eastAsia="Arial" w:hAnsi="Arial" w:cs="Arial"/>
          <w:sz w:val="20"/>
          <w:szCs w:val="20"/>
        </w:rPr>
        <w:t xml:space="preserve">, Rector of the University </w:t>
      </w:r>
      <w:proofErr w:type="spellStart"/>
      <w:r w:rsidRPr="00C801D2">
        <w:rPr>
          <w:rFonts w:ascii="Arial" w:eastAsia="Arial" w:hAnsi="Arial" w:cs="Arial"/>
          <w:sz w:val="20"/>
          <w:szCs w:val="20"/>
        </w:rPr>
        <w:t>Politehnica</w:t>
      </w:r>
      <w:proofErr w:type="spellEnd"/>
      <w:r w:rsidRPr="00C801D2">
        <w:rPr>
          <w:rFonts w:ascii="Arial" w:eastAsia="Arial" w:hAnsi="Arial" w:cs="Arial"/>
          <w:sz w:val="20"/>
          <w:szCs w:val="20"/>
        </w:rPr>
        <w:t xml:space="preserve"> of Bucharest.</w:t>
      </w:r>
    </w:p>
    <w:p w14:paraId="7C2B3CDD" w14:textId="77777777" w:rsidR="00A4326F" w:rsidRDefault="00A4326F" w:rsidP="00005F54">
      <w:pPr>
        <w:jc w:val="both"/>
        <w:rPr>
          <w:rFonts w:ascii="Arial" w:eastAsia="Arial" w:hAnsi="Arial" w:cs="Arial"/>
          <w:sz w:val="20"/>
          <w:szCs w:val="20"/>
        </w:rPr>
      </w:pPr>
    </w:p>
    <w:p w14:paraId="1FBA762B" w14:textId="48836125" w:rsidR="00D9584B" w:rsidRPr="00005F54" w:rsidRDefault="00D9584B" w:rsidP="00EE78D2">
      <w:pPr>
        <w:jc w:val="both"/>
        <w:rPr>
          <w:rFonts w:ascii="Arial" w:eastAsia="Arial" w:hAnsi="Arial" w:cs="Arial"/>
          <w:sz w:val="20"/>
          <w:szCs w:val="20"/>
        </w:rPr>
      </w:pPr>
      <w:r w:rsidRPr="00005F54">
        <w:rPr>
          <w:rFonts w:ascii="Arial" w:eastAsia="Arial" w:hAnsi="Arial" w:cs="Arial"/>
          <w:sz w:val="20"/>
          <w:szCs w:val="20"/>
        </w:rPr>
        <w:t>The European Investment Bank supports education investment across Europe and around the world and ensures that best-practice strengthens new investment</w:t>
      </w:r>
      <w:r w:rsidR="00005F54">
        <w:rPr>
          <w:rFonts w:ascii="Arial" w:eastAsia="Arial" w:hAnsi="Arial" w:cs="Arial"/>
          <w:sz w:val="20"/>
          <w:szCs w:val="20"/>
        </w:rPr>
        <w:t>s</w:t>
      </w:r>
      <w:r w:rsidRPr="00005F54">
        <w:rPr>
          <w:rFonts w:ascii="Arial" w:eastAsia="Arial" w:hAnsi="Arial" w:cs="Arial"/>
          <w:sz w:val="20"/>
          <w:szCs w:val="20"/>
        </w:rPr>
        <w:t xml:space="preserve"> in the sector.</w:t>
      </w:r>
    </w:p>
    <w:p w14:paraId="4F54142E" w14:textId="77777777" w:rsidR="00D9584B" w:rsidRPr="00005F54" w:rsidRDefault="00D9584B" w:rsidP="00EE78D2">
      <w:pPr>
        <w:jc w:val="both"/>
        <w:rPr>
          <w:rFonts w:ascii="Arial" w:eastAsia="Arial" w:hAnsi="Arial" w:cs="Arial"/>
          <w:sz w:val="20"/>
          <w:szCs w:val="20"/>
        </w:rPr>
      </w:pPr>
    </w:p>
    <w:p w14:paraId="67970A44" w14:textId="5E037EDB" w:rsidR="00D9584B" w:rsidRDefault="00D9584B" w:rsidP="00EE78D2">
      <w:pPr>
        <w:jc w:val="both"/>
        <w:rPr>
          <w:rFonts w:ascii="Arial" w:eastAsia="Arial" w:hAnsi="Arial" w:cs="Arial"/>
          <w:sz w:val="20"/>
          <w:szCs w:val="20"/>
        </w:rPr>
      </w:pPr>
      <w:r w:rsidRPr="00005F54">
        <w:rPr>
          <w:rFonts w:ascii="Arial" w:eastAsia="Arial" w:hAnsi="Arial" w:cs="Arial"/>
          <w:sz w:val="20"/>
          <w:szCs w:val="20"/>
        </w:rPr>
        <w:t>Over the last decade, EIB has provided more than EUR 30 billion for school, university, and further education investment.</w:t>
      </w:r>
    </w:p>
    <w:p w14:paraId="472692AA" w14:textId="2DD56E4F" w:rsidR="00B04C9D" w:rsidRDefault="00B04C9D" w:rsidP="00EE78D2">
      <w:pPr>
        <w:jc w:val="both"/>
        <w:rPr>
          <w:rFonts w:ascii="Arial" w:eastAsia="Arial" w:hAnsi="Arial" w:cs="Arial"/>
          <w:sz w:val="20"/>
          <w:szCs w:val="20"/>
        </w:rPr>
      </w:pPr>
    </w:p>
    <w:p w14:paraId="6FF58B69" w14:textId="0729AFEE" w:rsidR="00B04C9D" w:rsidRDefault="00B04C9D" w:rsidP="00EE78D2">
      <w:pPr>
        <w:jc w:val="both"/>
        <w:rPr>
          <w:rFonts w:ascii="Arial" w:eastAsia="Arial" w:hAnsi="Arial" w:cs="Arial"/>
          <w:b/>
          <w:sz w:val="20"/>
          <w:szCs w:val="20"/>
        </w:rPr>
      </w:pPr>
      <w:r w:rsidRPr="00C801D2">
        <w:rPr>
          <w:rFonts w:ascii="Arial" w:eastAsia="Arial" w:hAnsi="Arial" w:cs="Arial"/>
          <w:b/>
          <w:sz w:val="20"/>
          <w:szCs w:val="20"/>
        </w:rPr>
        <w:t>EIB Advisory support to</w:t>
      </w:r>
      <w:r>
        <w:rPr>
          <w:rFonts w:ascii="Arial" w:eastAsia="Arial" w:hAnsi="Arial" w:cs="Arial"/>
          <w:b/>
          <w:sz w:val="20"/>
          <w:szCs w:val="20"/>
        </w:rPr>
        <w:t xml:space="preserve"> facilitate access to finance</w:t>
      </w:r>
    </w:p>
    <w:p w14:paraId="3C242F68" w14:textId="77777777" w:rsidR="004E1C0C" w:rsidRDefault="004E1C0C" w:rsidP="00EE78D2">
      <w:pPr>
        <w:jc w:val="both"/>
        <w:rPr>
          <w:rFonts w:ascii="Arial" w:eastAsia="Arial" w:hAnsi="Arial" w:cs="Arial"/>
          <w:sz w:val="20"/>
          <w:szCs w:val="20"/>
        </w:rPr>
      </w:pPr>
    </w:p>
    <w:p w14:paraId="0AA32F00" w14:textId="0AC228A6" w:rsidR="00A77939" w:rsidRDefault="005634EC" w:rsidP="00EE78D2">
      <w:pPr>
        <w:jc w:val="both"/>
        <w:rPr>
          <w:rFonts w:ascii="Arial" w:eastAsia="Arial" w:hAnsi="Arial" w:cs="Arial"/>
          <w:sz w:val="20"/>
          <w:szCs w:val="20"/>
        </w:rPr>
      </w:pPr>
      <w:r>
        <w:rPr>
          <w:rFonts w:ascii="Arial" w:eastAsia="Arial" w:hAnsi="Arial" w:cs="Arial"/>
          <w:sz w:val="20"/>
          <w:szCs w:val="20"/>
        </w:rPr>
        <w:t>T</w:t>
      </w:r>
      <w:r w:rsidR="00EF7C74">
        <w:rPr>
          <w:rFonts w:ascii="Arial" w:eastAsia="Arial" w:hAnsi="Arial" w:cs="Arial"/>
          <w:sz w:val="20"/>
          <w:szCs w:val="20"/>
        </w:rPr>
        <w:t>he European Investment Advisory Hub</w:t>
      </w:r>
      <w:r w:rsidR="004A69DE">
        <w:rPr>
          <w:rFonts w:ascii="Arial" w:eastAsia="Arial" w:hAnsi="Arial" w:cs="Arial"/>
          <w:sz w:val="20"/>
          <w:szCs w:val="20"/>
        </w:rPr>
        <w:t>,</w:t>
      </w:r>
      <w:r w:rsidR="00EF7C74">
        <w:rPr>
          <w:rFonts w:ascii="Arial" w:eastAsia="Arial" w:hAnsi="Arial" w:cs="Arial"/>
          <w:sz w:val="20"/>
          <w:szCs w:val="20"/>
        </w:rPr>
        <w:t xml:space="preserve"> </w:t>
      </w:r>
      <w:r>
        <w:rPr>
          <w:rFonts w:ascii="Arial" w:eastAsia="Arial" w:hAnsi="Arial" w:cs="Arial"/>
          <w:sz w:val="20"/>
          <w:szCs w:val="20"/>
        </w:rPr>
        <w:t>jointly with Innovation Finance Advisory Division and Projects Directorate</w:t>
      </w:r>
      <w:r w:rsidR="004A69DE">
        <w:rPr>
          <w:rFonts w:ascii="Arial" w:eastAsia="Arial" w:hAnsi="Arial" w:cs="Arial"/>
          <w:sz w:val="20"/>
          <w:szCs w:val="20"/>
        </w:rPr>
        <w:t>,</w:t>
      </w:r>
      <w:r>
        <w:rPr>
          <w:rFonts w:ascii="Arial" w:eastAsia="Arial" w:hAnsi="Arial" w:cs="Arial"/>
          <w:sz w:val="20"/>
          <w:szCs w:val="20"/>
        </w:rPr>
        <w:t xml:space="preserve"> </w:t>
      </w:r>
      <w:r w:rsidR="00EF7C74">
        <w:rPr>
          <w:rFonts w:ascii="Arial" w:eastAsia="Arial" w:hAnsi="Arial" w:cs="Arial"/>
          <w:sz w:val="20"/>
          <w:szCs w:val="20"/>
        </w:rPr>
        <w:t xml:space="preserve">have supported “Carol Davila” University in the structuring of its investment </w:t>
      </w:r>
      <w:r w:rsidR="00234D3E">
        <w:rPr>
          <w:rFonts w:ascii="Arial" w:eastAsia="Arial" w:hAnsi="Arial" w:cs="Arial"/>
          <w:sz w:val="20"/>
          <w:szCs w:val="20"/>
        </w:rPr>
        <w:t xml:space="preserve">proposal, in areas such as financial structuring, </w:t>
      </w:r>
      <w:r w:rsidR="00997C40">
        <w:rPr>
          <w:rFonts w:ascii="Arial" w:eastAsia="Arial" w:hAnsi="Arial" w:cs="Arial"/>
          <w:sz w:val="20"/>
          <w:szCs w:val="20"/>
        </w:rPr>
        <w:t xml:space="preserve">financial </w:t>
      </w:r>
      <w:r w:rsidR="00234D3E">
        <w:rPr>
          <w:rFonts w:ascii="Arial" w:eastAsia="Arial" w:hAnsi="Arial" w:cs="Arial"/>
          <w:sz w:val="20"/>
          <w:szCs w:val="20"/>
        </w:rPr>
        <w:t xml:space="preserve">analysis and forecasting. In order to further accelerate access to finance, external consultants were engaged, preparing the University to </w:t>
      </w:r>
      <w:r w:rsidR="00A77939">
        <w:rPr>
          <w:rFonts w:ascii="Arial" w:eastAsia="Arial" w:hAnsi="Arial" w:cs="Arial"/>
          <w:sz w:val="20"/>
          <w:szCs w:val="20"/>
        </w:rPr>
        <w:t>well position</w:t>
      </w:r>
      <w:r w:rsidR="00234D3E">
        <w:rPr>
          <w:rFonts w:ascii="Arial" w:eastAsia="Arial" w:hAnsi="Arial" w:cs="Arial"/>
          <w:sz w:val="20"/>
          <w:szCs w:val="20"/>
        </w:rPr>
        <w:t xml:space="preserve"> the investment</w:t>
      </w:r>
      <w:r w:rsidR="00997C40">
        <w:rPr>
          <w:rFonts w:ascii="Arial" w:eastAsia="Arial" w:hAnsi="Arial" w:cs="Arial"/>
          <w:sz w:val="20"/>
          <w:szCs w:val="20"/>
        </w:rPr>
        <w:t xml:space="preserve"> proposal</w:t>
      </w:r>
      <w:r w:rsidR="00234D3E">
        <w:rPr>
          <w:rFonts w:ascii="Arial" w:eastAsia="Arial" w:hAnsi="Arial" w:cs="Arial"/>
          <w:sz w:val="20"/>
          <w:szCs w:val="20"/>
        </w:rPr>
        <w:t xml:space="preserve"> inside the EIB.</w:t>
      </w:r>
      <w:r w:rsidR="00A77939">
        <w:rPr>
          <w:rFonts w:ascii="Arial" w:eastAsia="Arial" w:hAnsi="Arial" w:cs="Arial"/>
          <w:sz w:val="20"/>
          <w:szCs w:val="20"/>
        </w:rPr>
        <w:t xml:space="preserve"> </w:t>
      </w:r>
    </w:p>
    <w:p w14:paraId="351893E4" w14:textId="77777777" w:rsidR="00A77939" w:rsidRDefault="00A77939" w:rsidP="00EE78D2">
      <w:pPr>
        <w:jc w:val="both"/>
        <w:rPr>
          <w:rFonts w:ascii="Arial" w:eastAsia="Arial" w:hAnsi="Arial" w:cs="Arial"/>
          <w:sz w:val="20"/>
          <w:szCs w:val="20"/>
        </w:rPr>
      </w:pPr>
    </w:p>
    <w:p w14:paraId="654EE16D" w14:textId="559E28BE" w:rsidR="00B04C9D" w:rsidRDefault="00A77939" w:rsidP="00EE78D2">
      <w:pPr>
        <w:jc w:val="both"/>
        <w:rPr>
          <w:rFonts w:ascii="Arial" w:eastAsia="Arial" w:hAnsi="Arial" w:cs="Arial"/>
          <w:sz w:val="20"/>
          <w:szCs w:val="20"/>
        </w:rPr>
      </w:pPr>
      <w:r>
        <w:rPr>
          <w:rFonts w:ascii="Arial" w:eastAsia="Arial" w:hAnsi="Arial" w:cs="Arial"/>
          <w:sz w:val="20"/>
          <w:szCs w:val="20"/>
        </w:rPr>
        <w:t xml:space="preserve">Similar </w:t>
      </w:r>
      <w:r w:rsidR="002C64EC">
        <w:rPr>
          <w:rFonts w:ascii="Arial" w:eastAsia="Arial" w:hAnsi="Arial" w:cs="Arial"/>
          <w:sz w:val="20"/>
          <w:szCs w:val="20"/>
        </w:rPr>
        <w:t xml:space="preserve">financial </w:t>
      </w:r>
      <w:r>
        <w:rPr>
          <w:rFonts w:ascii="Arial" w:eastAsia="Arial" w:hAnsi="Arial" w:cs="Arial"/>
          <w:sz w:val="20"/>
          <w:szCs w:val="20"/>
        </w:rPr>
        <w:t xml:space="preserve">advisory support </w:t>
      </w:r>
      <w:proofErr w:type="gramStart"/>
      <w:r>
        <w:rPr>
          <w:rFonts w:ascii="Arial" w:eastAsia="Arial" w:hAnsi="Arial" w:cs="Arial"/>
          <w:sz w:val="20"/>
          <w:szCs w:val="20"/>
        </w:rPr>
        <w:t>was provided</w:t>
      </w:r>
      <w:proofErr w:type="gramEnd"/>
      <w:r>
        <w:rPr>
          <w:rFonts w:ascii="Arial" w:eastAsia="Arial" w:hAnsi="Arial" w:cs="Arial"/>
          <w:sz w:val="20"/>
          <w:szCs w:val="20"/>
        </w:rPr>
        <w:t xml:space="preserve"> to the Technical University of Clu</w:t>
      </w:r>
      <w:r w:rsidR="004A6A75">
        <w:rPr>
          <w:rFonts w:ascii="Arial" w:eastAsia="Arial" w:hAnsi="Arial" w:cs="Arial"/>
          <w:sz w:val="20"/>
          <w:szCs w:val="20"/>
        </w:rPr>
        <w:t>j-Napoca</w:t>
      </w:r>
      <w:r>
        <w:rPr>
          <w:rFonts w:ascii="Arial" w:eastAsia="Arial" w:hAnsi="Arial" w:cs="Arial"/>
          <w:sz w:val="20"/>
          <w:szCs w:val="20"/>
        </w:rPr>
        <w:t xml:space="preserve">, whereby financial advisory and structuring led to a successful financing by the EIB’s EUR 100m “Romania Higher Education Programme Loan”. </w:t>
      </w:r>
    </w:p>
    <w:p w14:paraId="283FD22C" w14:textId="336EB515" w:rsidR="00A77939" w:rsidRDefault="00A77939" w:rsidP="00EE78D2">
      <w:pPr>
        <w:jc w:val="both"/>
        <w:rPr>
          <w:rFonts w:ascii="Arial" w:eastAsia="Arial" w:hAnsi="Arial" w:cs="Arial"/>
          <w:sz w:val="20"/>
          <w:szCs w:val="20"/>
        </w:rPr>
      </w:pPr>
    </w:p>
    <w:p w14:paraId="3925AAF7" w14:textId="3FA7591E" w:rsidR="00A77939" w:rsidRPr="00B04C9D" w:rsidRDefault="004A7A1E" w:rsidP="00EE78D2">
      <w:pPr>
        <w:jc w:val="both"/>
        <w:rPr>
          <w:rFonts w:ascii="Arial" w:eastAsia="Arial" w:hAnsi="Arial" w:cs="Arial"/>
          <w:sz w:val="20"/>
          <w:szCs w:val="20"/>
        </w:rPr>
      </w:pPr>
      <w:r>
        <w:rPr>
          <w:rFonts w:ascii="Arial" w:eastAsia="Arial" w:hAnsi="Arial" w:cs="Arial"/>
          <w:sz w:val="20"/>
          <w:szCs w:val="20"/>
        </w:rPr>
        <w:t xml:space="preserve">The EIB Advisory services offer support </w:t>
      </w:r>
      <w:r w:rsidR="004A6A75">
        <w:rPr>
          <w:rFonts w:ascii="Arial" w:eastAsia="Arial" w:hAnsi="Arial" w:cs="Arial"/>
          <w:sz w:val="20"/>
          <w:szCs w:val="20"/>
        </w:rPr>
        <w:t xml:space="preserve">in </w:t>
      </w:r>
      <w:r>
        <w:rPr>
          <w:rFonts w:ascii="Arial" w:eastAsia="Arial" w:hAnsi="Arial" w:cs="Arial"/>
          <w:sz w:val="20"/>
          <w:szCs w:val="20"/>
        </w:rPr>
        <w:t>preparing, structuring and implementing projects that are then funded by the EIB or other financiers</w:t>
      </w:r>
      <w:r w:rsidR="00A4168B">
        <w:rPr>
          <w:rFonts w:ascii="Arial" w:eastAsia="Arial" w:hAnsi="Arial" w:cs="Arial"/>
          <w:sz w:val="20"/>
          <w:szCs w:val="20"/>
        </w:rPr>
        <w:t>, with a strong focus on innovation, environmental and social sustainability and climate impact.</w:t>
      </w:r>
    </w:p>
    <w:p w14:paraId="2871BF93" w14:textId="77777777" w:rsidR="00D9584B" w:rsidRPr="00EE78D2" w:rsidRDefault="00D9584B" w:rsidP="00EE78D2">
      <w:pPr>
        <w:jc w:val="both"/>
        <w:rPr>
          <w:rStyle w:val="Strong"/>
          <w:rFonts w:ascii="Arial" w:eastAsia="Arial" w:hAnsi="Arial" w:cs="Arial"/>
        </w:rPr>
      </w:pPr>
    </w:p>
    <w:p w14:paraId="2ECF4152" w14:textId="27507E87" w:rsidR="00D9584B" w:rsidRPr="00FC7911" w:rsidRDefault="00D9584B" w:rsidP="00EE78D2">
      <w:pPr>
        <w:jc w:val="both"/>
        <w:rPr>
          <w:rStyle w:val="Strong"/>
          <w:rFonts w:ascii="Arial" w:eastAsia="Arial" w:hAnsi="Arial" w:cs="Arial"/>
          <w:sz w:val="22"/>
        </w:rPr>
      </w:pPr>
      <w:r w:rsidRPr="00FC7911">
        <w:rPr>
          <w:rStyle w:val="Strong"/>
          <w:rFonts w:ascii="Arial" w:eastAsia="Arial" w:hAnsi="Arial" w:cs="Arial"/>
          <w:sz w:val="22"/>
        </w:rPr>
        <w:t>Background information</w:t>
      </w:r>
    </w:p>
    <w:p w14:paraId="5FE8D59E" w14:textId="77777777" w:rsidR="006D416A" w:rsidRDefault="006D416A" w:rsidP="00005F54">
      <w:pPr>
        <w:jc w:val="both"/>
        <w:rPr>
          <w:rFonts w:ascii="Arial" w:eastAsia="Arial" w:hAnsi="Arial" w:cs="Arial"/>
          <w:sz w:val="20"/>
          <w:szCs w:val="20"/>
        </w:rPr>
      </w:pPr>
    </w:p>
    <w:p w14:paraId="249866E8" w14:textId="2F8DE2F5" w:rsidR="004A69DE" w:rsidRDefault="00D9584B" w:rsidP="00005F54">
      <w:pPr>
        <w:jc w:val="both"/>
        <w:rPr>
          <w:rFonts w:ascii="Arial" w:eastAsia="Arial" w:hAnsi="Arial" w:cs="Arial"/>
          <w:sz w:val="20"/>
          <w:szCs w:val="20"/>
        </w:rPr>
      </w:pPr>
      <w:r w:rsidRPr="00005F54">
        <w:rPr>
          <w:rFonts w:ascii="Arial" w:eastAsia="Arial" w:hAnsi="Arial" w:cs="Arial"/>
          <w:sz w:val="20"/>
          <w:szCs w:val="20"/>
        </w:rPr>
        <w:t xml:space="preserve">The </w:t>
      </w:r>
      <w:r w:rsidRPr="00005F54">
        <w:rPr>
          <w:rFonts w:ascii="Arial" w:eastAsia="Arial" w:hAnsi="Arial" w:cs="Arial"/>
          <w:b/>
          <w:sz w:val="20"/>
          <w:szCs w:val="20"/>
        </w:rPr>
        <w:t xml:space="preserve">European Investment Bank (EIB) </w:t>
      </w:r>
      <w:r w:rsidRPr="00005F54">
        <w:rPr>
          <w:rFonts w:ascii="Arial" w:eastAsia="Arial" w:hAnsi="Arial" w:cs="Arial"/>
          <w:sz w:val="20"/>
          <w:szCs w:val="20"/>
        </w:rPr>
        <w:t>is the long-term lending institution of the European Union owned by its Member States. It makes long-term finance available for sound investment</w:t>
      </w:r>
      <w:r w:rsidR="004A6A75">
        <w:rPr>
          <w:rFonts w:ascii="Arial" w:eastAsia="Arial" w:hAnsi="Arial" w:cs="Arial"/>
          <w:sz w:val="20"/>
          <w:szCs w:val="20"/>
        </w:rPr>
        <w:t>s</w:t>
      </w:r>
      <w:r w:rsidRPr="00005F54">
        <w:rPr>
          <w:rFonts w:ascii="Arial" w:eastAsia="Arial" w:hAnsi="Arial" w:cs="Arial"/>
          <w:sz w:val="20"/>
          <w:szCs w:val="20"/>
        </w:rPr>
        <w:t xml:space="preserve"> in order to contribute towards EU policy goals. </w:t>
      </w:r>
    </w:p>
    <w:p w14:paraId="58CFF589" w14:textId="77777777" w:rsidR="004A6A75" w:rsidRDefault="004A6A75" w:rsidP="00005F54">
      <w:pPr>
        <w:jc w:val="both"/>
        <w:rPr>
          <w:rFonts w:ascii="Arial" w:eastAsia="Arial" w:hAnsi="Arial" w:cs="Arial"/>
          <w:sz w:val="20"/>
          <w:szCs w:val="20"/>
        </w:rPr>
      </w:pPr>
    </w:p>
    <w:p w14:paraId="69B6776C" w14:textId="0FDA6F63" w:rsidR="00A703B8" w:rsidRPr="00005F54" w:rsidRDefault="009270F6" w:rsidP="00005F54">
      <w:pPr>
        <w:jc w:val="both"/>
        <w:rPr>
          <w:rFonts w:ascii="Arial" w:eastAsia="Arial" w:hAnsi="Arial" w:cs="Arial"/>
          <w:sz w:val="20"/>
          <w:szCs w:val="20"/>
        </w:rPr>
      </w:pPr>
      <w:r>
        <w:rPr>
          <w:rFonts w:ascii="Arial" w:eastAsia="Arial" w:hAnsi="Arial" w:cs="Arial"/>
          <w:sz w:val="20"/>
          <w:szCs w:val="20"/>
        </w:rPr>
        <w:t xml:space="preserve">The </w:t>
      </w:r>
      <w:r w:rsidRPr="00C801D2">
        <w:rPr>
          <w:rFonts w:ascii="Arial" w:eastAsia="Arial" w:hAnsi="Arial" w:cs="Arial"/>
          <w:b/>
          <w:sz w:val="20"/>
          <w:szCs w:val="20"/>
        </w:rPr>
        <w:t>European Investment Advisory Hub (EIAH</w:t>
      </w:r>
      <w:r w:rsidR="00A65441">
        <w:rPr>
          <w:rFonts w:ascii="Arial" w:eastAsia="Arial" w:hAnsi="Arial" w:cs="Arial"/>
          <w:b/>
          <w:sz w:val="20"/>
          <w:szCs w:val="20"/>
        </w:rPr>
        <w:t xml:space="preserve"> or the Hub</w:t>
      </w:r>
      <w:r w:rsidRPr="00C801D2">
        <w:rPr>
          <w:rFonts w:ascii="Arial" w:eastAsia="Arial" w:hAnsi="Arial" w:cs="Arial"/>
          <w:b/>
          <w:sz w:val="20"/>
          <w:szCs w:val="20"/>
        </w:rPr>
        <w:t>)</w:t>
      </w:r>
      <w:r>
        <w:rPr>
          <w:rFonts w:ascii="Arial" w:eastAsia="Arial" w:hAnsi="Arial" w:cs="Arial"/>
          <w:sz w:val="20"/>
          <w:szCs w:val="20"/>
        </w:rPr>
        <w:t xml:space="preserve"> is </w:t>
      </w:r>
      <w:r w:rsidR="00A65441">
        <w:rPr>
          <w:rFonts w:ascii="Arial" w:eastAsia="Arial" w:hAnsi="Arial" w:cs="Arial"/>
          <w:sz w:val="20"/>
          <w:szCs w:val="20"/>
        </w:rPr>
        <w:t xml:space="preserve">a partnership between the EIB Group and the European Commission as a part of the Investment Plan </w:t>
      </w:r>
      <w:r w:rsidR="003770AF">
        <w:rPr>
          <w:rFonts w:ascii="Arial" w:eastAsia="Arial" w:hAnsi="Arial" w:cs="Arial"/>
          <w:sz w:val="20"/>
          <w:szCs w:val="20"/>
        </w:rPr>
        <w:t xml:space="preserve">for </w:t>
      </w:r>
      <w:r w:rsidR="00A65441">
        <w:rPr>
          <w:rFonts w:ascii="Arial" w:eastAsia="Arial" w:hAnsi="Arial" w:cs="Arial"/>
          <w:sz w:val="20"/>
          <w:szCs w:val="20"/>
        </w:rPr>
        <w:t>Europe. It is designed to act as a single point of entry to a comprehensive offer of advisory services and technical assistance, aiming at providing targeted support to identify, prepare and develop investment projects across the European Union. It supports both public and private project promoters.</w:t>
      </w:r>
    </w:p>
    <w:p w14:paraId="6F7AC5D1" w14:textId="72DB94EA" w:rsidR="00D9584B" w:rsidRDefault="00D9584B" w:rsidP="00D9584B">
      <w:pPr>
        <w:jc w:val="both"/>
        <w:rPr>
          <w:rFonts w:ascii="Arial" w:eastAsia="Arial" w:hAnsi="Arial" w:cs="Arial"/>
          <w:sz w:val="20"/>
          <w:szCs w:val="20"/>
        </w:rPr>
      </w:pPr>
    </w:p>
    <w:p w14:paraId="618CFB1B" w14:textId="2AE97FE4" w:rsidR="00A65441" w:rsidRDefault="00E44E13" w:rsidP="00D9584B">
      <w:pPr>
        <w:jc w:val="both"/>
        <w:rPr>
          <w:rFonts w:ascii="Arial" w:eastAsia="Arial" w:hAnsi="Arial" w:cs="Arial"/>
          <w:sz w:val="20"/>
          <w:szCs w:val="20"/>
        </w:rPr>
      </w:pPr>
      <w:hyperlink r:id="rId9" w:history="1">
        <w:r w:rsidR="008E500D" w:rsidRPr="00294F1E">
          <w:rPr>
            <w:rStyle w:val="Hyperlink"/>
            <w:rFonts w:ascii="Arial" w:eastAsia="Arial" w:hAnsi="Arial" w:cs="Arial"/>
          </w:rPr>
          <w:t>https://eiah.eib.org/</w:t>
        </w:r>
      </w:hyperlink>
      <w:r w:rsidR="008E500D">
        <w:rPr>
          <w:rFonts w:ascii="Arial" w:eastAsia="Arial" w:hAnsi="Arial" w:cs="Arial"/>
          <w:sz w:val="20"/>
          <w:szCs w:val="20"/>
        </w:rPr>
        <w:t xml:space="preserve"> </w:t>
      </w:r>
    </w:p>
    <w:p w14:paraId="0DDD0869" w14:textId="77777777" w:rsidR="00A65441" w:rsidRPr="00005F54" w:rsidRDefault="00A65441" w:rsidP="00D9584B">
      <w:pPr>
        <w:jc w:val="both"/>
        <w:rPr>
          <w:rFonts w:ascii="Arial" w:eastAsia="Arial" w:hAnsi="Arial" w:cs="Arial"/>
          <w:sz w:val="20"/>
          <w:szCs w:val="20"/>
        </w:rPr>
      </w:pPr>
    </w:p>
    <w:p w14:paraId="5519594A" w14:textId="77777777" w:rsidR="00005F54" w:rsidRPr="00FC7911" w:rsidRDefault="00D9584B" w:rsidP="00D9584B">
      <w:pPr>
        <w:rPr>
          <w:rStyle w:val="Strong"/>
          <w:rFonts w:ascii="Arial" w:eastAsia="Arial" w:hAnsi="Arial" w:cs="Arial"/>
          <w:sz w:val="22"/>
        </w:rPr>
      </w:pPr>
      <w:r w:rsidRPr="00FC7911">
        <w:rPr>
          <w:rStyle w:val="Strong"/>
          <w:rFonts w:ascii="Arial" w:eastAsia="Arial" w:hAnsi="Arial" w:cs="Arial"/>
          <w:sz w:val="22"/>
        </w:rPr>
        <w:t>Press contacts</w:t>
      </w:r>
    </w:p>
    <w:p w14:paraId="1F0329FC" w14:textId="77777777" w:rsidR="00C801D2" w:rsidRDefault="00C801D2" w:rsidP="003D6627">
      <w:pPr>
        <w:jc w:val="both"/>
        <w:rPr>
          <w:rFonts w:ascii="Helvetica" w:hAnsi="Helvetica" w:cs="Helvetica"/>
          <w:color w:val="535353"/>
          <w:sz w:val="20"/>
          <w:szCs w:val="20"/>
          <w:shd w:val="clear" w:color="auto" w:fill="FFFFFF"/>
        </w:rPr>
      </w:pPr>
    </w:p>
    <w:p w14:paraId="109258FA" w14:textId="4F717AC7" w:rsidR="00C801D2" w:rsidRPr="00C801D2" w:rsidRDefault="00C801D2" w:rsidP="00C801D2">
      <w:pPr>
        <w:pStyle w:val="NormalWeb"/>
        <w:rPr>
          <w:rStyle w:val="Hyperlink"/>
          <w:rFonts w:ascii="Arial" w:eastAsia="Arial" w:hAnsi="Arial" w:cs="Arial"/>
          <w:lang w:val="ro-RO"/>
        </w:rPr>
      </w:pPr>
      <w:r w:rsidRPr="00C801D2">
        <w:rPr>
          <w:rFonts w:ascii="Arial" w:eastAsia="Arial" w:hAnsi="Arial" w:cs="Arial"/>
          <w:b/>
          <w:lang w:val="ro-RO"/>
        </w:rPr>
        <w:t xml:space="preserve">Universitatea de Medicină și Farmacie „Carol Davila”: </w:t>
      </w:r>
      <w:r w:rsidR="000053B6" w:rsidRPr="00B2106D">
        <w:rPr>
          <w:rFonts w:ascii="Arial" w:eastAsia="Arial" w:hAnsi="Arial" w:cs="Arial"/>
          <w:lang w:val="ro-RO"/>
        </w:rPr>
        <w:t xml:space="preserve">Stefan </w:t>
      </w:r>
      <w:proofErr w:type="spellStart"/>
      <w:r w:rsidR="000053B6" w:rsidRPr="00B2106D">
        <w:rPr>
          <w:rFonts w:ascii="Arial" w:eastAsia="Arial" w:hAnsi="Arial" w:cs="Arial"/>
          <w:lang w:val="ro-RO"/>
        </w:rPr>
        <w:t>Busnatu</w:t>
      </w:r>
      <w:proofErr w:type="spellEnd"/>
      <w:r w:rsidRPr="00C801D2">
        <w:rPr>
          <w:rFonts w:ascii="Arial" w:eastAsia="Arial" w:hAnsi="Arial" w:cs="Arial"/>
          <w:lang w:val="ro-RO"/>
        </w:rPr>
        <w:t xml:space="preserve">, </w:t>
      </w:r>
      <w:hyperlink r:id="rId10" w:history="1">
        <w:r w:rsidR="000053B6" w:rsidRPr="00364851">
          <w:rPr>
            <w:rStyle w:val="Hyperlink"/>
            <w:rFonts w:ascii="Arial" w:eastAsia="Arial" w:hAnsi="Arial" w:cs="Arial"/>
            <w:lang w:val="ro-RO"/>
          </w:rPr>
          <w:t>stefan.busnatu@umfcd.ro</w:t>
        </w:r>
      </w:hyperlink>
      <w:r w:rsidRPr="00C801D2">
        <w:rPr>
          <w:rFonts w:ascii="Arial" w:eastAsia="Arial" w:hAnsi="Arial" w:cs="Arial"/>
          <w:lang w:val="ro-RO"/>
        </w:rPr>
        <w:t>,</w:t>
      </w:r>
      <w:r w:rsidR="000053B6">
        <w:rPr>
          <w:rFonts w:ascii="Arial" w:eastAsia="Arial" w:hAnsi="Arial" w:cs="Arial"/>
          <w:lang w:val="ro-RO"/>
        </w:rPr>
        <w:t xml:space="preserve"> </w:t>
      </w:r>
      <w:r w:rsidR="000053B6" w:rsidRPr="00C801D2">
        <w:rPr>
          <w:rFonts w:ascii="Arial" w:eastAsia="Arial" w:hAnsi="Arial" w:cs="Arial"/>
        </w:rPr>
        <w:t xml:space="preserve">Tel: </w:t>
      </w:r>
      <w:r w:rsidR="000053B6">
        <w:rPr>
          <w:rFonts w:ascii="Arial" w:eastAsia="Arial" w:hAnsi="Arial" w:cs="Arial"/>
          <w:lang w:val="ro-RO"/>
        </w:rPr>
        <w:t>+40 732154643</w:t>
      </w:r>
      <w:r w:rsidRPr="00C801D2">
        <w:rPr>
          <w:rFonts w:ascii="Arial" w:eastAsia="Arial" w:hAnsi="Arial" w:cs="Arial"/>
          <w:lang w:val="ro-RO"/>
        </w:rPr>
        <w:t xml:space="preserve"> </w:t>
      </w:r>
      <w:r w:rsidR="000053B6">
        <w:rPr>
          <w:rFonts w:ascii="Arial" w:eastAsia="Arial" w:hAnsi="Arial" w:cs="Arial"/>
          <w:lang w:val="ro-RO"/>
        </w:rPr>
        <w:t xml:space="preserve">- </w:t>
      </w:r>
      <w:r w:rsidRPr="00C801D2">
        <w:rPr>
          <w:rFonts w:ascii="Arial" w:eastAsia="Arial" w:hAnsi="Arial" w:cs="Arial"/>
          <w:lang w:val="ro-RO"/>
        </w:rPr>
        <w:t>Website:</w:t>
      </w:r>
      <w:r w:rsidRPr="00C801D2">
        <w:rPr>
          <w:rFonts w:ascii="Arial" w:eastAsia="Arial" w:hAnsi="Arial" w:cs="Arial"/>
          <w:b/>
          <w:color w:val="FF0000"/>
          <w:lang w:val="ro-RO"/>
        </w:rPr>
        <w:t xml:space="preserve"> </w:t>
      </w:r>
      <w:hyperlink r:id="rId11" w:history="1">
        <w:r w:rsidRPr="00C801D2">
          <w:rPr>
            <w:rStyle w:val="Hyperlink"/>
            <w:rFonts w:ascii="Arial" w:eastAsia="Arial" w:hAnsi="Arial" w:cs="Arial"/>
            <w:lang w:val="ro-RO"/>
          </w:rPr>
          <w:t>www.umfcd.ro</w:t>
        </w:r>
      </w:hyperlink>
    </w:p>
    <w:p w14:paraId="52382F4D" w14:textId="77777777" w:rsidR="00CA421E" w:rsidRDefault="00CA421E" w:rsidP="00CA421E">
      <w:pPr>
        <w:pStyle w:val="NormalWeb"/>
        <w:rPr>
          <w:rFonts w:ascii="Arial" w:eastAsia="Arial" w:hAnsi="Arial" w:cs="Arial"/>
        </w:rPr>
      </w:pPr>
    </w:p>
    <w:p w14:paraId="620F8F92" w14:textId="7E1F7AAE" w:rsidR="00CA421E" w:rsidRPr="00C801D2" w:rsidRDefault="00CA421E" w:rsidP="00C801D2">
      <w:pPr>
        <w:pStyle w:val="NormalWeb"/>
        <w:jc w:val="both"/>
        <w:rPr>
          <w:rFonts w:ascii="Arial" w:eastAsia="Arial" w:hAnsi="Arial" w:cs="Arial"/>
        </w:rPr>
      </w:pPr>
      <w:r w:rsidRPr="00C801D2">
        <w:rPr>
          <w:rFonts w:ascii="Arial" w:eastAsia="Arial" w:hAnsi="Arial" w:cs="Arial"/>
          <w:b/>
        </w:rPr>
        <w:t>Technical University of Cluj-Napoca</w:t>
      </w:r>
      <w:r w:rsidRPr="00C801D2">
        <w:rPr>
          <w:rFonts w:ascii="Arial" w:eastAsia="Arial" w:hAnsi="Arial" w:cs="Arial"/>
        </w:rPr>
        <w:t xml:space="preserve">: </w:t>
      </w:r>
      <w:proofErr w:type="spellStart"/>
      <w:r w:rsidRPr="00C801D2">
        <w:rPr>
          <w:rFonts w:ascii="Arial" w:eastAsia="Arial" w:hAnsi="Arial" w:cs="Arial"/>
        </w:rPr>
        <w:t>Mirela</w:t>
      </w:r>
      <w:proofErr w:type="spellEnd"/>
      <w:r w:rsidRPr="00C801D2">
        <w:rPr>
          <w:rFonts w:ascii="Arial" w:eastAsia="Arial" w:hAnsi="Arial" w:cs="Arial"/>
        </w:rPr>
        <w:t xml:space="preserve"> </w:t>
      </w:r>
      <w:proofErr w:type="spellStart"/>
      <w:r w:rsidRPr="00C801D2">
        <w:rPr>
          <w:rFonts w:ascii="Arial" w:eastAsia="Arial" w:hAnsi="Arial" w:cs="Arial"/>
        </w:rPr>
        <w:t>Botan</w:t>
      </w:r>
      <w:proofErr w:type="spellEnd"/>
      <w:r w:rsidRPr="00C801D2">
        <w:rPr>
          <w:rFonts w:ascii="Arial" w:eastAsia="Arial" w:hAnsi="Arial" w:cs="Arial"/>
        </w:rPr>
        <w:t xml:space="preserve">, </w:t>
      </w:r>
      <w:hyperlink r:id="rId12" w:history="1">
        <w:r w:rsidR="000053B6" w:rsidRPr="00364851">
          <w:rPr>
            <w:rStyle w:val="Hyperlink"/>
            <w:rFonts w:ascii="Arial" w:eastAsia="Arial" w:hAnsi="Arial" w:cs="Arial"/>
          </w:rPr>
          <w:t>mirela.botan@staff.utcluj.ro</w:t>
        </w:r>
      </w:hyperlink>
      <w:r w:rsidRPr="00C801D2">
        <w:rPr>
          <w:rFonts w:ascii="Arial" w:eastAsia="Arial" w:hAnsi="Arial" w:cs="Arial"/>
        </w:rPr>
        <w:t xml:space="preserve">, Tel: +40 722163346 - Website: </w:t>
      </w:r>
      <w:hyperlink r:id="rId13" w:history="1">
        <w:r w:rsidRPr="00C801D2">
          <w:rPr>
            <w:rFonts w:ascii="Arial" w:eastAsia="Arial" w:hAnsi="Arial" w:cs="Arial"/>
          </w:rPr>
          <w:t>www.utcluj.ro</w:t>
        </w:r>
      </w:hyperlink>
    </w:p>
    <w:p w14:paraId="71673425" w14:textId="77777777" w:rsidR="00CA421E" w:rsidRPr="00EE78D2" w:rsidRDefault="00CA421E" w:rsidP="00D9584B">
      <w:pPr>
        <w:rPr>
          <w:rStyle w:val="Strong"/>
          <w:rFonts w:ascii="Arial" w:eastAsia="Arial" w:hAnsi="Arial" w:cs="Arial"/>
        </w:rPr>
      </w:pPr>
    </w:p>
    <w:p w14:paraId="47E8E0B2" w14:textId="77777777" w:rsidR="00D9584B" w:rsidRPr="00005F54" w:rsidRDefault="00D9584B" w:rsidP="00D9584B">
      <w:pPr>
        <w:pStyle w:val="NormalWeb"/>
        <w:rPr>
          <w:rFonts w:ascii="Arial" w:eastAsia="Arial" w:hAnsi="Arial" w:cs="Arial"/>
        </w:rPr>
      </w:pPr>
      <w:r w:rsidRPr="00005F54">
        <w:rPr>
          <w:rFonts w:ascii="Arial" w:eastAsia="Arial" w:hAnsi="Arial" w:cs="Arial"/>
          <w:b/>
        </w:rPr>
        <w:t>EIB: Richard Willis,</w:t>
      </w:r>
      <w:r w:rsidRPr="00005F54">
        <w:rPr>
          <w:rFonts w:ascii="Arial" w:eastAsia="Arial" w:hAnsi="Arial" w:cs="Arial"/>
        </w:rPr>
        <w:t xml:space="preserve"> </w:t>
      </w:r>
      <w:hyperlink r:id="rId14">
        <w:r w:rsidRPr="00EE78D2">
          <w:rPr>
            <w:rStyle w:val="Hyperlink"/>
            <w:rFonts w:ascii="Arial" w:eastAsia="Arial" w:hAnsi="Arial" w:cs="Arial"/>
          </w:rPr>
          <w:t>r.willis@eib.org</w:t>
        </w:r>
      </w:hyperlink>
      <w:r w:rsidRPr="00005F54">
        <w:rPr>
          <w:rFonts w:ascii="Arial" w:eastAsia="Arial" w:hAnsi="Arial" w:cs="Arial"/>
        </w:rPr>
        <w:t>, Tel.: +352 4379 82155, +352 621 555 758</w:t>
      </w:r>
    </w:p>
    <w:p w14:paraId="4C00EBAC" w14:textId="77777777" w:rsidR="00D9584B" w:rsidRPr="00005F54" w:rsidRDefault="00D9584B" w:rsidP="00D9584B">
      <w:pPr>
        <w:rPr>
          <w:rFonts w:ascii="Arial" w:eastAsia="Arial" w:hAnsi="Arial" w:cs="Arial"/>
          <w:sz w:val="20"/>
          <w:szCs w:val="20"/>
        </w:rPr>
      </w:pPr>
      <w:r w:rsidRPr="00005F54">
        <w:rPr>
          <w:rFonts w:ascii="Arial" w:eastAsia="Arial" w:hAnsi="Arial" w:cs="Arial"/>
          <w:sz w:val="20"/>
          <w:szCs w:val="20"/>
        </w:rPr>
        <w:t xml:space="preserve">Website: </w:t>
      </w:r>
      <w:hyperlink r:id="rId15">
        <w:r w:rsidRPr="00EE78D2">
          <w:rPr>
            <w:rStyle w:val="Hyperlink"/>
            <w:rFonts w:ascii="Arial" w:hAnsi="Arial" w:cs="Arial"/>
          </w:rPr>
          <w:t>www.eib.org/press</w:t>
        </w:r>
      </w:hyperlink>
      <w:r w:rsidRPr="00005F54">
        <w:rPr>
          <w:rFonts w:ascii="Arial" w:eastAsia="Arial" w:hAnsi="Arial" w:cs="Arial"/>
          <w:sz w:val="20"/>
          <w:szCs w:val="20"/>
        </w:rPr>
        <w:t xml:space="preserve"> - Press Office: +352 4379 21000 – </w:t>
      </w:r>
      <w:hyperlink r:id="rId16">
        <w:r w:rsidRPr="00EE78D2">
          <w:rPr>
            <w:rStyle w:val="Hyperlink"/>
            <w:rFonts w:ascii="Arial" w:hAnsi="Arial" w:cs="Arial"/>
          </w:rPr>
          <w:t>press@eib.org</w:t>
        </w:r>
      </w:hyperlink>
      <w:r w:rsidRPr="00005F54">
        <w:rPr>
          <w:rFonts w:ascii="Arial" w:eastAsia="Arial" w:hAnsi="Arial" w:cs="Arial"/>
          <w:sz w:val="20"/>
          <w:szCs w:val="20"/>
        </w:rPr>
        <w:t xml:space="preserve"> </w:t>
      </w:r>
    </w:p>
    <w:p w14:paraId="5A5E0B9C" w14:textId="77777777" w:rsidR="00D9584B" w:rsidRPr="00005F54" w:rsidRDefault="00D9584B" w:rsidP="00D9584B">
      <w:pPr>
        <w:rPr>
          <w:rFonts w:ascii="Arial" w:eastAsia="Arial" w:hAnsi="Arial" w:cs="Arial"/>
          <w:sz w:val="20"/>
          <w:szCs w:val="20"/>
        </w:rPr>
      </w:pPr>
      <w:r w:rsidRPr="00005F54">
        <w:rPr>
          <w:rFonts w:ascii="Arial" w:eastAsia="Arial" w:hAnsi="Arial" w:cs="Arial"/>
          <w:sz w:val="20"/>
          <w:szCs w:val="20"/>
        </w:rPr>
        <w:br/>
      </w:r>
      <w:r w:rsidRPr="00EE78D2">
        <w:rPr>
          <w:rFonts w:ascii="Arial" w:hAnsi="Arial" w:cs="Arial"/>
          <w:noProof/>
          <w:sz w:val="20"/>
          <w:szCs w:val="20"/>
        </w:rPr>
        <w:drawing>
          <wp:inline distT="0" distB="0" distL="0" distR="0" wp14:anchorId="0CCF2594" wp14:editId="01E1608F">
            <wp:extent cx="142875" cy="142875"/>
            <wp:effectExtent l="0" t="0" r="9525" b="9525"/>
            <wp:docPr id="11" name="Picture 1" descr="cid:image002.png@01D38ABE.1647CD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C06286A7-416F-4814-B2A1-DB2BF8DE574A/tmp/Polaris/engine/image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3510" cy="143510"/>
                    </a:xfrm>
                    <a:prstGeom prst="rect">
                      <a:avLst/>
                    </a:prstGeom>
                    <a:noFill/>
                    <a:ln cap="flat">
                      <a:noFill/>
                    </a:ln>
                  </pic:spPr>
                </pic:pic>
              </a:graphicData>
            </a:graphic>
          </wp:inline>
        </w:drawing>
      </w:r>
      <w:r w:rsidRPr="00005F54">
        <w:rPr>
          <w:rFonts w:ascii="Arial" w:eastAsia="Arial" w:hAnsi="Arial" w:cs="Arial"/>
          <w:sz w:val="20"/>
          <w:szCs w:val="20"/>
        </w:rPr>
        <w:t xml:space="preserve">  </w:t>
      </w:r>
      <w:r w:rsidRPr="00EE78D2">
        <w:rPr>
          <w:rFonts w:ascii="Arial" w:hAnsi="Arial" w:cs="Arial"/>
          <w:noProof/>
          <w:sz w:val="20"/>
          <w:szCs w:val="20"/>
        </w:rPr>
        <w:drawing>
          <wp:inline distT="0" distB="0" distL="0" distR="0" wp14:anchorId="3E41ED7F" wp14:editId="0240E6AD">
            <wp:extent cx="142875" cy="142875"/>
            <wp:effectExtent l="0" t="0" r="9525" b="9525"/>
            <wp:docPr id="12" name="Picture 72" descr="cid:image003.png@01D38ABE.1647CD2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vate/var/mobile/Containers/Data/Application/C06286A7-416F-4814-B2A1-DB2BF8DE574A/tmp/Polaris/engine/image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3510" cy="143510"/>
                    </a:xfrm>
                    <a:prstGeom prst="rect">
                      <a:avLst/>
                    </a:prstGeom>
                    <a:noFill/>
                    <a:ln cap="flat">
                      <a:noFill/>
                    </a:ln>
                  </pic:spPr>
                </pic:pic>
              </a:graphicData>
            </a:graphic>
          </wp:inline>
        </w:drawing>
      </w:r>
      <w:r w:rsidRPr="00005F54">
        <w:rPr>
          <w:rFonts w:ascii="Arial" w:eastAsia="Arial" w:hAnsi="Arial" w:cs="Arial"/>
          <w:sz w:val="20"/>
          <w:szCs w:val="20"/>
        </w:rPr>
        <w:t>  </w:t>
      </w:r>
      <w:r w:rsidRPr="00EE78D2">
        <w:rPr>
          <w:rFonts w:ascii="Arial" w:hAnsi="Arial" w:cs="Arial"/>
          <w:noProof/>
          <w:sz w:val="20"/>
          <w:szCs w:val="20"/>
        </w:rPr>
        <w:drawing>
          <wp:inline distT="0" distB="0" distL="0" distR="0" wp14:anchorId="0EDE348C" wp14:editId="7D928D17">
            <wp:extent cx="142875" cy="142875"/>
            <wp:effectExtent l="0" t="0" r="9525" b="9525"/>
            <wp:docPr id="13" name="Picture 73" descr="cid:image004.png@01D38ABE.1647CD2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ivate/var/mobile/Containers/Data/Application/C06286A7-416F-4814-B2A1-DB2BF8DE574A/tmp/Polaris/engine/image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3510" cy="143510"/>
                    </a:xfrm>
                    <a:prstGeom prst="rect">
                      <a:avLst/>
                    </a:prstGeom>
                    <a:noFill/>
                    <a:ln cap="flat">
                      <a:noFill/>
                    </a:ln>
                  </pic:spPr>
                </pic:pic>
              </a:graphicData>
            </a:graphic>
          </wp:inline>
        </w:drawing>
      </w:r>
      <w:r w:rsidRPr="00005F54">
        <w:rPr>
          <w:rFonts w:ascii="Arial" w:eastAsia="Arial" w:hAnsi="Arial" w:cs="Arial"/>
          <w:sz w:val="20"/>
          <w:szCs w:val="20"/>
        </w:rPr>
        <w:t>  </w:t>
      </w:r>
      <w:r w:rsidRPr="00EE78D2">
        <w:rPr>
          <w:rFonts w:ascii="Arial" w:hAnsi="Arial" w:cs="Arial"/>
          <w:noProof/>
          <w:sz w:val="20"/>
          <w:szCs w:val="20"/>
        </w:rPr>
        <w:drawing>
          <wp:inline distT="0" distB="0" distL="0" distR="0" wp14:anchorId="7A3B9EF7" wp14:editId="5C4E746C">
            <wp:extent cx="142875" cy="142875"/>
            <wp:effectExtent l="0" t="0" r="9525" b="9525"/>
            <wp:docPr id="14" name="Picture 74" descr="cid:image005.png@01D38ABE.1647CD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ivate/var/mobile/Containers/Data/Application/C06286A7-416F-4814-B2A1-DB2BF8DE574A/tmp/Polaris/engine/image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3510" cy="143510"/>
                    </a:xfrm>
                    <a:prstGeom prst="rect">
                      <a:avLst/>
                    </a:prstGeom>
                    <a:noFill/>
                    <a:ln cap="flat">
                      <a:noFill/>
                    </a:ln>
                  </pic:spPr>
                </pic:pic>
              </a:graphicData>
            </a:graphic>
          </wp:inline>
        </w:drawing>
      </w:r>
      <w:r w:rsidRPr="00005F54">
        <w:rPr>
          <w:rFonts w:ascii="Arial" w:eastAsia="Arial" w:hAnsi="Arial" w:cs="Arial"/>
          <w:sz w:val="20"/>
          <w:szCs w:val="20"/>
        </w:rPr>
        <w:t>  </w:t>
      </w:r>
      <w:r w:rsidRPr="00EE78D2">
        <w:rPr>
          <w:rFonts w:ascii="Arial" w:hAnsi="Arial" w:cs="Arial"/>
          <w:noProof/>
          <w:sz w:val="20"/>
          <w:szCs w:val="20"/>
        </w:rPr>
        <w:drawing>
          <wp:inline distT="0" distB="0" distL="0" distR="0" wp14:anchorId="48D53577" wp14:editId="3670F517">
            <wp:extent cx="142875" cy="142875"/>
            <wp:effectExtent l="0" t="0" r="9525" b="9525"/>
            <wp:docPr id="15" name="Picture 75" descr="cid:image006.png@01D38ABE.1647CD2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vate/var/mobile/Containers/Data/Application/C06286A7-416F-4814-B2A1-DB2BF8DE574A/tmp/Polaris/engine/image6.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43510" cy="143510"/>
                    </a:xfrm>
                    <a:prstGeom prst="rect">
                      <a:avLst/>
                    </a:prstGeom>
                    <a:noFill/>
                    <a:ln cap="flat">
                      <a:noFill/>
                    </a:ln>
                  </pic:spPr>
                </pic:pic>
              </a:graphicData>
            </a:graphic>
          </wp:inline>
        </w:drawing>
      </w:r>
      <w:r w:rsidRPr="00005F54">
        <w:rPr>
          <w:rFonts w:ascii="Arial" w:eastAsia="Arial" w:hAnsi="Arial" w:cs="Arial"/>
          <w:sz w:val="20"/>
          <w:szCs w:val="20"/>
        </w:rPr>
        <w:t>  </w:t>
      </w:r>
      <w:r w:rsidRPr="00EE78D2">
        <w:rPr>
          <w:rFonts w:ascii="Arial" w:hAnsi="Arial" w:cs="Arial"/>
          <w:noProof/>
          <w:sz w:val="20"/>
          <w:szCs w:val="20"/>
        </w:rPr>
        <w:drawing>
          <wp:inline distT="0" distB="0" distL="0" distR="0" wp14:anchorId="26774B8C" wp14:editId="499A0BAE">
            <wp:extent cx="142875" cy="142875"/>
            <wp:effectExtent l="0" t="0" r="9525" b="9525"/>
            <wp:docPr id="16" name="Picture 76" descr="cid:image007.png@01D38ABE.1647CD2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vate/var/mobile/Containers/Data/Application/C06286A7-416F-4814-B2A1-DB2BF8DE574A/tmp/Polaris/engine/image7.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43510" cy="143510"/>
                    </a:xfrm>
                    <a:prstGeom prst="rect">
                      <a:avLst/>
                    </a:prstGeom>
                    <a:noFill/>
                    <a:ln cap="flat">
                      <a:noFill/>
                    </a:ln>
                  </pic:spPr>
                </pic:pic>
              </a:graphicData>
            </a:graphic>
          </wp:inline>
        </w:drawing>
      </w:r>
    </w:p>
    <w:p w14:paraId="7DFDEC0E" w14:textId="77777777" w:rsidR="00CB7476" w:rsidRDefault="00E44E13"/>
    <w:sectPr w:rsidR="00CB7476">
      <w:pgSz w:w="11906" w:h="16838"/>
      <w:pgMar w:top="567" w:right="1440" w:bottom="567"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3"/>
    <w:multiLevelType w:val="hybridMultilevel"/>
    <w:tmpl w:val="3C5A8615"/>
    <w:lvl w:ilvl="0" w:tplc="B298EEB8">
      <w:start w:val="1"/>
      <w:numFmt w:val="bullet"/>
      <w:lvlText w:val="·"/>
      <w:lvlJc w:val="left"/>
      <w:pPr>
        <w:ind w:left="720" w:hanging="360"/>
        <w:jc w:val="both"/>
      </w:pPr>
      <w:rPr>
        <w:rFonts w:ascii="Symbol" w:eastAsia="Symbol" w:hAnsi="Symbol"/>
        <w:w w:val="100"/>
        <w:sz w:val="20"/>
        <w:szCs w:val="20"/>
        <w:shd w:val="clear" w:color="auto" w:fill="auto"/>
      </w:rPr>
    </w:lvl>
    <w:lvl w:ilvl="1" w:tplc="B5669C5C">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0B4266C0">
      <w:start w:val="1"/>
      <w:numFmt w:val="bullet"/>
      <w:lvlText w:val="§"/>
      <w:lvlJc w:val="left"/>
      <w:pPr>
        <w:ind w:left="2160" w:hanging="360"/>
        <w:jc w:val="both"/>
      </w:pPr>
      <w:rPr>
        <w:rFonts w:ascii="Wingdings" w:eastAsia="Wingdings" w:hAnsi="Wingdings"/>
        <w:w w:val="100"/>
        <w:sz w:val="20"/>
        <w:szCs w:val="20"/>
        <w:shd w:val="clear" w:color="auto" w:fill="auto"/>
      </w:rPr>
    </w:lvl>
    <w:lvl w:ilvl="3" w:tplc="4E6E3FA8">
      <w:start w:val="1"/>
      <w:numFmt w:val="bullet"/>
      <w:lvlText w:val="·"/>
      <w:lvlJc w:val="left"/>
      <w:pPr>
        <w:ind w:left="2880" w:hanging="360"/>
        <w:jc w:val="both"/>
      </w:pPr>
      <w:rPr>
        <w:rFonts w:ascii="Symbol" w:eastAsia="Symbol" w:hAnsi="Symbol"/>
        <w:w w:val="100"/>
        <w:sz w:val="20"/>
        <w:szCs w:val="20"/>
        <w:shd w:val="clear" w:color="auto" w:fill="auto"/>
      </w:rPr>
    </w:lvl>
    <w:lvl w:ilvl="4" w:tplc="7BDA0132">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5E508128">
      <w:start w:val="1"/>
      <w:numFmt w:val="bullet"/>
      <w:lvlText w:val="§"/>
      <w:lvlJc w:val="left"/>
      <w:pPr>
        <w:ind w:left="4320" w:hanging="360"/>
        <w:jc w:val="both"/>
      </w:pPr>
      <w:rPr>
        <w:rFonts w:ascii="Wingdings" w:eastAsia="Wingdings" w:hAnsi="Wingdings"/>
        <w:w w:val="100"/>
        <w:sz w:val="20"/>
        <w:szCs w:val="20"/>
        <w:shd w:val="clear" w:color="auto" w:fill="auto"/>
      </w:rPr>
    </w:lvl>
    <w:lvl w:ilvl="6" w:tplc="3D8A5DCA">
      <w:start w:val="1"/>
      <w:numFmt w:val="bullet"/>
      <w:lvlText w:val="·"/>
      <w:lvlJc w:val="left"/>
      <w:pPr>
        <w:ind w:left="5040" w:hanging="360"/>
        <w:jc w:val="both"/>
      </w:pPr>
      <w:rPr>
        <w:rFonts w:ascii="Symbol" w:eastAsia="Symbol" w:hAnsi="Symbol"/>
        <w:w w:val="100"/>
        <w:sz w:val="20"/>
        <w:szCs w:val="20"/>
        <w:shd w:val="clear" w:color="auto" w:fill="auto"/>
      </w:rPr>
    </w:lvl>
    <w:lvl w:ilvl="7" w:tplc="62BC61A2">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E2BCD28E">
      <w:start w:val="1"/>
      <w:numFmt w:val="bullet"/>
      <w:lvlText w:val="§"/>
      <w:lvlJc w:val="left"/>
      <w:pPr>
        <w:ind w:left="6480" w:hanging="360"/>
        <w:jc w:val="both"/>
      </w:pPr>
      <w:rPr>
        <w:rFonts w:ascii="Wingdings" w:eastAsia="Wingdings" w:hAnsi="Wingdings"/>
        <w:w w:val="100"/>
        <w:sz w:val="20"/>
        <w:szCs w:val="20"/>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4B"/>
    <w:rsid w:val="000053B6"/>
    <w:rsid w:val="00005F54"/>
    <w:rsid w:val="00016A74"/>
    <w:rsid w:val="0004366E"/>
    <w:rsid w:val="00050DFC"/>
    <w:rsid w:val="00053AE0"/>
    <w:rsid w:val="000620A7"/>
    <w:rsid w:val="0006583F"/>
    <w:rsid w:val="00077655"/>
    <w:rsid w:val="000C1C29"/>
    <w:rsid w:val="000E16B0"/>
    <w:rsid w:val="001B3B55"/>
    <w:rsid w:val="00234D3E"/>
    <w:rsid w:val="00264236"/>
    <w:rsid w:val="00296BED"/>
    <w:rsid w:val="002C64EC"/>
    <w:rsid w:val="002D524E"/>
    <w:rsid w:val="003578EA"/>
    <w:rsid w:val="003770AF"/>
    <w:rsid w:val="003A08FE"/>
    <w:rsid w:val="003C3CD6"/>
    <w:rsid w:val="003D6627"/>
    <w:rsid w:val="004209AC"/>
    <w:rsid w:val="004A69DE"/>
    <w:rsid w:val="004A6A75"/>
    <w:rsid w:val="004A7A1E"/>
    <w:rsid w:val="004D1AAB"/>
    <w:rsid w:val="004D514C"/>
    <w:rsid w:val="004E1C0C"/>
    <w:rsid w:val="00523DC3"/>
    <w:rsid w:val="005634EC"/>
    <w:rsid w:val="00634A8F"/>
    <w:rsid w:val="00655A79"/>
    <w:rsid w:val="00691E9B"/>
    <w:rsid w:val="006D416A"/>
    <w:rsid w:val="006E384B"/>
    <w:rsid w:val="00791617"/>
    <w:rsid w:val="007D2438"/>
    <w:rsid w:val="00835603"/>
    <w:rsid w:val="00835AC8"/>
    <w:rsid w:val="00836B88"/>
    <w:rsid w:val="008C13FE"/>
    <w:rsid w:val="008E500D"/>
    <w:rsid w:val="009270F6"/>
    <w:rsid w:val="00997C40"/>
    <w:rsid w:val="009B08E1"/>
    <w:rsid w:val="009F75CA"/>
    <w:rsid w:val="00A13A2F"/>
    <w:rsid w:val="00A14CC8"/>
    <w:rsid w:val="00A4168B"/>
    <w:rsid w:val="00A4326F"/>
    <w:rsid w:val="00A65441"/>
    <w:rsid w:val="00A66004"/>
    <w:rsid w:val="00A703B8"/>
    <w:rsid w:val="00A77939"/>
    <w:rsid w:val="00B04C9D"/>
    <w:rsid w:val="00B2106D"/>
    <w:rsid w:val="00BB5921"/>
    <w:rsid w:val="00BD0542"/>
    <w:rsid w:val="00BD7D68"/>
    <w:rsid w:val="00C04E9C"/>
    <w:rsid w:val="00C801D2"/>
    <w:rsid w:val="00CA421E"/>
    <w:rsid w:val="00D1116A"/>
    <w:rsid w:val="00D77778"/>
    <w:rsid w:val="00D9584B"/>
    <w:rsid w:val="00E44E13"/>
    <w:rsid w:val="00EC4671"/>
    <w:rsid w:val="00ED425A"/>
    <w:rsid w:val="00EE78D2"/>
    <w:rsid w:val="00EF7C74"/>
    <w:rsid w:val="00F5110F"/>
    <w:rsid w:val="00F77C29"/>
    <w:rsid w:val="00FC7911"/>
    <w:rsid w:val="00FD2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B65C"/>
  <w15:chartTrackingRefBased/>
  <w15:docId w15:val="{85E62725-1F06-4A4C-B3F9-ED7785BE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584B"/>
    <w:rPr>
      <w:rFonts w:ascii="Calibri" w:eastAsia="MS Mincho" w:hAnsi="Calibri" w:cs="Times New Roman"/>
      <w:lang w:eastAsia="en-GB"/>
    </w:rPr>
  </w:style>
  <w:style w:type="paragraph" w:styleId="Heading1">
    <w:name w:val="heading 1"/>
    <w:basedOn w:val="Normal"/>
    <w:next w:val="Normal"/>
    <w:link w:val="Heading1Char"/>
    <w:uiPriority w:val="7"/>
    <w:qFormat/>
    <w:rsid w:val="00D9584B"/>
    <w:pPr>
      <w:keepNext/>
      <w:keepLines/>
      <w:outlineLvl w:val="0"/>
    </w:pPr>
    <w:rPr>
      <w:rFonts w:ascii="Calibri Light" w:eastAsia="MS Gothic" w:hAnsi="Calibri Light"/>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9584B"/>
    <w:rPr>
      <w:rFonts w:ascii="Calibri Light" w:eastAsia="MS Gothic" w:hAnsi="Calibri Light" w:cs="Times New Roman"/>
      <w:color w:val="2F5496" w:themeColor="accent1" w:themeShade="BF"/>
      <w:sz w:val="32"/>
      <w:szCs w:val="32"/>
      <w:lang w:val="en-GB" w:eastAsia="en-GB"/>
    </w:rPr>
  </w:style>
  <w:style w:type="character" w:styleId="Strong">
    <w:name w:val="Strong"/>
    <w:uiPriority w:val="22"/>
    <w:qFormat/>
    <w:rsid w:val="00D9584B"/>
    <w:rPr>
      <w:b/>
      <w:w w:val="100"/>
      <w:sz w:val="20"/>
      <w:szCs w:val="20"/>
      <w:shd w:val="clear" w:color="auto" w:fill="auto"/>
    </w:rPr>
  </w:style>
  <w:style w:type="paragraph" w:styleId="ListParagraph">
    <w:name w:val="List Paragraph"/>
    <w:basedOn w:val="Normal"/>
    <w:link w:val="ListParagraphChar"/>
    <w:uiPriority w:val="26"/>
    <w:qFormat/>
    <w:rsid w:val="00D9584B"/>
    <w:pPr>
      <w:ind w:left="720"/>
    </w:pPr>
    <w:rPr>
      <w:rFonts w:ascii="Arial" w:eastAsia="Arial" w:hAnsi="Arial"/>
      <w:sz w:val="20"/>
      <w:szCs w:val="20"/>
    </w:rPr>
  </w:style>
  <w:style w:type="table" w:styleId="TableGrid">
    <w:name w:val="Table Grid"/>
    <w:basedOn w:val="TableNormal"/>
    <w:uiPriority w:val="38"/>
    <w:rsid w:val="00D9584B"/>
    <w:rPr>
      <w:rFonts w:ascii="Cambria" w:eastAsia="Times New Roman"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584B"/>
    <w:rPr>
      <w:rFonts w:ascii="Times New Roman" w:eastAsia="Times New Roman" w:hAnsi="Times New Roman"/>
      <w:sz w:val="20"/>
      <w:szCs w:val="20"/>
    </w:rPr>
  </w:style>
  <w:style w:type="character" w:styleId="Hyperlink">
    <w:name w:val="Hyperlink"/>
    <w:rsid w:val="00D9584B"/>
    <w:rPr>
      <w:color w:val="0000FF"/>
      <w:w w:val="100"/>
      <w:sz w:val="20"/>
      <w:szCs w:val="20"/>
      <w:u w:val="single"/>
      <w:shd w:val="clear" w:color="auto" w:fill="auto"/>
    </w:rPr>
  </w:style>
  <w:style w:type="character" w:customStyle="1" w:styleId="ListParagraphChar">
    <w:name w:val="List Paragraph Char"/>
    <w:basedOn w:val="DefaultParagraphFont"/>
    <w:link w:val="ListParagraph"/>
    <w:uiPriority w:val="26"/>
    <w:rsid w:val="00D9584B"/>
    <w:rPr>
      <w:rFonts w:ascii="Arial" w:eastAsia="Arial" w:hAnsi="Arial" w:cs="Times New Roman"/>
      <w:sz w:val="20"/>
      <w:szCs w:val="20"/>
      <w:lang w:val="en-GB" w:eastAsia="en-GB"/>
    </w:rPr>
  </w:style>
  <w:style w:type="character" w:styleId="Emphasis">
    <w:name w:val="Emphasis"/>
    <w:basedOn w:val="DefaultParagraphFont"/>
    <w:uiPriority w:val="20"/>
    <w:qFormat/>
    <w:rsid w:val="00D9584B"/>
    <w:rPr>
      <w:i/>
      <w:iCs/>
    </w:rPr>
  </w:style>
  <w:style w:type="character" w:customStyle="1" w:styleId="apple-converted-space">
    <w:name w:val="apple-converted-space"/>
    <w:basedOn w:val="DefaultParagraphFont"/>
    <w:rsid w:val="00D9584B"/>
  </w:style>
  <w:style w:type="paragraph" w:styleId="BalloonText">
    <w:name w:val="Balloon Text"/>
    <w:basedOn w:val="Normal"/>
    <w:link w:val="BalloonTextChar"/>
    <w:uiPriority w:val="99"/>
    <w:semiHidden/>
    <w:unhideWhenUsed/>
    <w:rsid w:val="006D4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6A"/>
    <w:rPr>
      <w:rFonts w:ascii="Segoe UI" w:eastAsia="MS Mincho" w:hAnsi="Segoe UI" w:cs="Segoe UI"/>
      <w:sz w:val="18"/>
      <w:szCs w:val="18"/>
      <w:lang w:val="en-GB" w:eastAsia="en-GB"/>
    </w:rPr>
  </w:style>
  <w:style w:type="paragraph" w:styleId="Revision">
    <w:name w:val="Revision"/>
    <w:hidden/>
    <w:uiPriority w:val="99"/>
    <w:semiHidden/>
    <w:rsid w:val="00005F54"/>
    <w:rPr>
      <w:rFonts w:ascii="Calibri" w:eastAsia="MS Mincho" w:hAnsi="Calibri" w:cs="Times New Roman"/>
      <w:lang w:eastAsia="en-GB"/>
    </w:rPr>
  </w:style>
  <w:style w:type="character" w:styleId="CommentReference">
    <w:name w:val="annotation reference"/>
    <w:basedOn w:val="DefaultParagraphFont"/>
    <w:uiPriority w:val="99"/>
    <w:semiHidden/>
    <w:unhideWhenUsed/>
    <w:rsid w:val="009270F6"/>
    <w:rPr>
      <w:sz w:val="16"/>
      <w:szCs w:val="16"/>
    </w:rPr>
  </w:style>
  <w:style w:type="paragraph" w:styleId="CommentText">
    <w:name w:val="annotation text"/>
    <w:basedOn w:val="Normal"/>
    <w:link w:val="CommentTextChar"/>
    <w:uiPriority w:val="99"/>
    <w:semiHidden/>
    <w:unhideWhenUsed/>
    <w:rsid w:val="009270F6"/>
    <w:rPr>
      <w:sz w:val="20"/>
      <w:szCs w:val="20"/>
    </w:rPr>
  </w:style>
  <w:style w:type="character" w:customStyle="1" w:styleId="CommentTextChar">
    <w:name w:val="Comment Text Char"/>
    <w:basedOn w:val="DefaultParagraphFont"/>
    <w:link w:val="CommentText"/>
    <w:uiPriority w:val="99"/>
    <w:semiHidden/>
    <w:rsid w:val="009270F6"/>
    <w:rPr>
      <w:rFonts w:ascii="Calibri" w:eastAsia="MS Mincho"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70F6"/>
    <w:rPr>
      <w:b/>
      <w:bCs/>
    </w:rPr>
  </w:style>
  <w:style w:type="character" w:customStyle="1" w:styleId="CommentSubjectChar">
    <w:name w:val="Comment Subject Char"/>
    <w:basedOn w:val="CommentTextChar"/>
    <w:link w:val="CommentSubject"/>
    <w:uiPriority w:val="99"/>
    <w:semiHidden/>
    <w:rsid w:val="009270F6"/>
    <w:rPr>
      <w:rFonts w:ascii="Calibri" w:eastAsia="MS Mincho" w:hAnsi="Calibri" w:cs="Times New Roman"/>
      <w:b/>
      <w:bCs/>
      <w:sz w:val="20"/>
      <w:szCs w:val="20"/>
      <w:lang w:eastAsia="en-GB"/>
    </w:rPr>
  </w:style>
  <w:style w:type="paragraph" w:styleId="HTMLPreformatted">
    <w:name w:val="HTML Preformatted"/>
    <w:basedOn w:val="Normal"/>
    <w:link w:val="HTMLPreformattedChar"/>
    <w:uiPriority w:val="99"/>
    <w:unhideWhenUsed/>
    <w:rsid w:val="00062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20A7"/>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C80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6928">
      <w:bodyDiv w:val="1"/>
      <w:marLeft w:val="0"/>
      <w:marRight w:val="0"/>
      <w:marTop w:val="0"/>
      <w:marBottom w:val="0"/>
      <w:divBdr>
        <w:top w:val="none" w:sz="0" w:space="0" w:color="auto"/>
        <w:left w:val="none" w:sz="0" w:space="0" w:color="auto"/>
        <w:bottom w:val="none" w:sz="0" w:space="0" w:color="auto"/>
        <w:right w:val="none" w:sz="0" w:space="0" w:color="auto"/>
      </w:divBdr>
    </w:div>
    <w:div w:id="624046034">
      <w:bodyDiv w:val="1"/>
      <w:marLeft w:val="0"/>
      <w:marRight w:val="0"/>
      <w:marTop w:val="0"/>
      <w:marBottom w:val="0"/>
      <w:divBdr>
        <w:top w:val="none" w:sz="0" w:space="0" w:color="auto"/>
        <w:left w:val="none" w:sz="0" w:space="0" w:color="auto"/>
        <w:bottom w:val="none" w:sz="0" w:space="0" w:color="auto"/>
        <w:right w:val="none" w:sz="0" w:space="0" w:color="auto"/>
      </w:divBdr>
    </w:div>
    <w:div w:id="1121193339">
      <w:bodyDiv w:val="1"/>
      <w:marLeft w:val="0"/>
      <w:marRight w:val="0"/>
      <w:marTop w:val="0"/>
      <w:marBottom w:val="0"/>
      <w:divBdr>
        <w:top w:val="none" w:sz="0" w:space="0" w:color="auto"/>
        <w:left w:val="none" w:sz="0" w:space="0" w:color="auto"/>
        <w:bottom w:val="none" w:sz="0" w:space="0" w:color="auto"/>
        <w:right w:val="none" w:sz="0" w:space="0" w:color="auto"/>
      </w:divBdr>
    </w:div>
    <w:div w:id="1491408328">
      <w:bodyDiv w:val="1"/>
      <w:marLeft w:val="0"/>
      <w:marRight w:val="0"/>
      <w:marTop w:val="0"/>
      <w:marBottom w:val="0"/>
      <w:divBdr>
        <w:top w:val="none" w:sz="0" w:space="0" w:color="auto"/>
        <w:left w:val="none" w:sz="0" w:space="0" w:color="auto"/>
        <w:bottom w:val="none" w:sz="0" w:space="0" w:color="auto"/>
        <w:right w:val="none" w:sz="0" w:space="0" w:color="auto"/>
      </w:divBdr>
    </w:div>
    <w:div w:id="1612514077">
      <w:bodyDiv w:val="1"/>
      <w:marLeft w:val="0"/>
      <w:marRight w:val="0"/>
      <w:marTop w:val="0"/>
      <w:marBottom w:val="0"/>
      <w:divBdr>
        <w:top w:val="none" w:sz="0" w:space="0" w:color="auto"/>
        <w:left w:val="none" w:sz="0" w:space="0" w:color="auto"/>
        <w:bottom w:val="none" w:sz="0" w:space="0" w:color="auto"/>
        <w:right w:val="none" w:sz="0" w:space="0" w:color="auto"/>
      </w:divBdr>
    </w:div>
    <w:div w:id="1626308088">
      <w:bodyDiv w:val="1"/>
      <w:marLeft w:val="0"/>
      <w:marRight w:val="0"/>
      <w:marTop w:val="0"/>
      <w:marBottom w:val="0"/>
      <w:divBdr>
        <w:top w:val="none" w:sz="0" w:space="0" w:color="auto"/>
        <w:left w:val="none" w:sz="0" w:space="0" w:color="auto"/>
        <w:bottom w:val="none" w:sz="0" w:space="0" w:color="auto"/>
        <w:right w:val="none" w:sz="0" w:space="0" w:color="auto"/>
      </w:divBdr>
    </w:div>
    <w:div w:id="1721326498">
      <w:bodyDiv w:val="1"/>
      <w:marLeft w:val="0"/>
      <w:marRight w:val="0"/>
      <w:marTop w:val="0"/>
      <w:marBottom w:val="0"/>
      <w:divBdr>
        <w:top w:val="none" w:sz="0" w:space="0" w:color="auto"/>
        <w:left w:val="none" w:sz="0" w:space="0" w:color="auto"/>
        <w:bottom w:val="none" w:sz="0" w:space="0" w:color="auto"/>
        <w:right w:val="none" w:sz="0" w:space="0" w:color="auto"/>
      </w:divBdr>
    </w:div>
    <w:div w:id="2086604677">
      <w:bodyDiv w:val="1"/>
      <w:marLeft w:val="0"/>
      <w:marRight w:val="0"/>
      <w:marTop w:val="0"/>
      <w:marBottom w:val="0"/>
      <w:divBdr>
        <w:top w:val="none" w:sz="0" w:space="0" w:color="auto"/>
        <w:left w:val="none" w:sz="0" w:space="0" w:color="auto"/>
        <w:bottom w:val="none" w:sz="0" w:space="0" w:color="auto"/>
        <w:right w:val="none" w:sz="0" w:space="0" w:color="auto"/>
      </w:divBdr>
    </w:div>
    <w:div w:id="2092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utcluj.ro" TargetMode="External"/><Relationship Id="rId18" Type="http://schemas.openxmlformats.org/officeDocument/2006/relationships/image" Target="media/image5.gif"/><Relationship Id="rId26"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hyperlink" Target="https://www.instagram.com/europeaninvestmentbank/" TargetMode="External"/><Relationship Id="rId7" Type="http://schemas.openxmlformats.org/officeDocument/2006/relationships/image" Target="media/image3.png"/><Relationship Id="rId12" Type="http://schemas.openxmlformats.org/officeDocument/2006/relationships/hyperlink" Target="mailto:mirela.botan@staff.utcluj.ro" TargetMode="External"/><Relationship Id="rId17" Type="http://schemas.openxmlformats.org/officeDocument/2006/relationships/hyperlink" Target="http://twitter.com/EIB" TargetMode="External"/><Relationship Id="rId25" Type="http://schemas.openxmlformats.org/officeDocument/2006/relationships/hyperlink" Target="http://www.eib.org/infocentre/rss/index.htm" TargetMode="External"/><Relationship Id="rId2" Type="http://schemas.openxmlformats.org/officeDocument/2006/relationships/styles" Target="styles.xml"/><Relationship Id="rId16" Type="http://schemas.openxmlformats.org/officeDocument/2006/relationships/hyperlink" Target="mailto:press@eib.org" TargetMode="External"/><Relationship Id="rId20" Type="http://schemas.openxmlformats.org/officeDocument/2006/relationships/image" Target="media/image6.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mfcd.ro" TargetMode="External"/><Relationship Id="rId24" Type="http://schemas.openxmlformats.org/officeDocument/2006/relationships/image" Target="media/image8.gif"/><Relationship Id="rId5" Type="http://schemas.openxmlformats.org/officeDocument/2006/relationships/image" Target="media/image1.jpeg"/><Relationship Id="rId15" Type="http://schemas.openxmlformats.org/officeDocument/2006/relationships/hyperlink" Target="http://www.eib.org/press" TargetMode="External"/><Relationship Id="rId23" Type="http://schemas.openxmlformats.org/officeDocument/2006/relationships/hyperlink" Target="https://www.youtube.com/user/EIBtheEUbank" TargetMode="External"/><Relationship Id="rId28" Type="http://schemas.openxmlformats.org/officeDocument/2006/relationships/image" Target="media/image10.gif"/><Relationship Id="rId10" Type="http://schemas.openxmlformats.org/officeDocument/2006/relationships/hyperlink" Target="mailto:stefan.busnatu@umfcd.ro" TargetMode="External"/><Relationship Id="rId19" Type="http://schemas.openxmlformats.org/officeDocument/2006/relationships/hyperlink" Target="http://www.facebook.com/EuropeanInvestmentBank" TargetMode="External"/><Relationship Id="rId4" Type="http://schemas.openxmlformats.org/officeDocument/2006/relationships/webSettings" Target="webSettings.xml"/><Relationship Id="rId9" Type="http://schemas.openxmlformats.org/officeDocument/2006/relationships/hyperlink" Target="https://eiah.eib.org/" TargetMode="External"/><Relationship Id="rId14" Type="http://schemas.openxmlformats.org/officeDocument/2006/relationships/hyperlink" Target="mailto:r.willis@eib.org" TargetMode="External"/><Relationship Id="rId22" Type="http://schemas.openxmlformats.org/officeDocument/2006/relationships/image" Target="media/image7.gif"/><Relationship Id="rId27" Type="http://schemas.openxmlformats.org/officeDocument/2006/relationships/hyperlink" Target="http://www.linkedin.com/company/936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willis</dc:creator>
  <cp:keywords/>
  <dc:description/>
  <cp:lastModifiedBy>HENRY Nadine</cp:lastModifiedBy>
  <cp:revision>5</cp:revision>
  <cp:lastPrinted>2021-03-30T12:00:00Z</cp:lastPrinted>
  <dcterms:created xsi:type="dcterms:W3CDTF">2021-04-14T08:46:00Z</dcterms:created>
  <dcterms:modified xsi:type="dcterms:W3CDTF">2021-04-14T08:54:00Z</dcterms:modified>
</cp:coreProperties>
</file>